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548" w:rsidRDefault="00277548" w:rsidP="00547DF1">
      <w:pPr>
        <w:spacing w:after="0" w:line="240" w:lineRule="auto"/>
        <w:ind w:left="550" w:right="-23"/>
        <w:rPr>
          <w:rFonts w:ascii="Arial" w:hAnsi="Arial" w:cs="Arial"/>
          <w:color w:val="58595B"/>
          <w:spacing w:val="-21"/>
          <w:sz w:val="10"/>
          <w:szCs w:val="10"/>
          <w:lang w:val="en-AU"/>
        </w:rPr>
      </w:pPr>
    </w:p>
    <w:p w:rsidR="00277548" w:rsidRPr="005E7024" w:rsidRDefault="00277548" w:rsidP="00547DF1">
      <w:pPr>
        <w:spacing w:after="0" w:line="240" w:lineRule="auto"/>
        <w:ind w:left="550" w:right="-23"/>
        <w:rPr>
          <w:rFonts w:ascii="Arial" w:hAnsi="Arial" w:cs="Arial"/>
          <w:color w:val="58595B"/>
          <w:spacing w:val="-21"/>
          <w:sz w:val="4"/>
          <w:szCs w:val="10"/>
          <w:lang w:val="en-AU"/>
        </w:rPr>
      </w:pPr>
    </w:p>
    <w:p w:rsidR="0012613B" w:rsidRPr="00710FC4" w:rsidRDefault="0012613B" w:rsidP="00343DB8">
      <w:pPr>
        <w:spacing w:after="0" w:line="240" w:lineRule="auto"/>
        <w:ind w:left="550" w:right="-23"/>
        <w:rPr>
          <w:rFonts w:ascii="Arial" w:hAnsi="Arial" w:cs="Arial"/>
          <w:spacing w:val="-21"/>
          <w:sz w:val="2"/>
          <w:szCs w:val="70"/>
          <w:lang w:val="en-AU"/>
        </w:rPr>
      </w:pPr>
    </w:p>
    <w:p w:rsidR="003F7598" w:rsidRPr="001768B4" w:rsidRDefault="001768B4" w:rsidP="003F7598">
      <w:pPr>
        <w:spacing w:before="120" w:after="0" w:line="240" w:lineRule="auto"/>
        <w:ind w:left="550" w:right="-23"/>
        <w:rPr>
          <w:rFonts w:ascii="Arial" w:hAnsi="Arial" w:cs="Arial"/>
          <w:b/>
          <w:spacing w:val="-21"/>
          <w:sz w:val="56"/>
          <w:szCs w:val="56"/>
          <w:lang w:val="en-AU"/>
        </w:rPr>
      </w:pPr>
      <w:r w:rsidRPr="001768B4">
        <w:rPr>
          <w:rFonts w:ascii="Arial" w:hAnsi="Arial" w:cs="Arial"/>
          <w:b/>
          <w:spacing w:val="-21"/>
          <w:sz w:val="56"/>
          <w:szCs w:val="56"/>
          <w:lang w:val="en-AU"/>
        </w:rPr>
        <w:t>Coomera to Helensvale Duplication</w:t>
      </w:r>
    </w:p>
    <w:p w:rsidR="00FE6FA9" w:rsidRDefault="00ED08D4" w:rsidP="0012187A">
      <w:pPr>
        <w:tabs>
          <w:tab w:val="left" w:pos="9790"/>
        </w:tabs>
        <w:spacing w:after="0" w:line="240" w:lineRule="auto"/>
        <w:ind w:left="550" w:right="-40"/>
        <w:rPr>
          <w:rFonts w:ascii="Arial" w:hAnsi="Arial" w:cs="Arial"/>
          <w:spacing w:val="-21"/>
          <w:sz w:val="48"/>
          <w:szCs w:val="48"/>
          <w:lang w:val="en-AU"/>
        </w:rPr>
      </w:pPr>
      <w:r>
        <w:rPr>
          <w:rFonts w:ascii="Arial" w:hAnsi="Arial" w:cs="Arial"/>
          <w:spacing w:val="-21"/>
          <w:sz w:val="48"/>
          <w:szCs w:val="48"/>
          <w:lang w:val="en-AU"/>
        </w:rPr>
        <w:t xml:space="preserve">Extended </w:t>
      </w:r>
      <w:r w:rsidR="00081C44">
        <w:rPr>
          <w:rFonts w:ascii="Arial" w:hAnsi="Arial" w:cs="Arial"/>
          <w:spacing w:val="-21"/>
          <w:sz w:val="48"/>
          <w:szCs w:val="48"/>
          <w:lang w:val="en-AU"/>
        </w:rPr>
        <w:t xml:space="preserve">working </w:t>
      </w:r>
      <w:r>
        <w:rPr>
          <w:rFonts w:ascii="Arial" w:hAnsi="Arial" w:cs="Arial"/>
          <w:spacing w:val="-21"/>
          <w:sz w:val="48"/>
          <w:szCs w:val="48"/>
          <w:lang w:val="en-AU"/>
        </w:rPr>
        <w:t>hours</w:t>
      </w:r>
      <w:r w:rsidR="00B23B09">
        <w:rPr>
          <w:rFonts w:ascii="Arial" w:hAnsi="Arial" w:cs="Arial"/>
          <w:spacing w:val="-21"/>
          <w:sz w:val="48"/>
          <w:szCs w:val="48"/>
          <w:lang w:val="en-AU"/>
        </w:rPr>
        <w:t xml:space="preserve"> – </w:t>
      </w:r>
      <w:r>
        <w:rPr>
          <w:rFonts w:ascii="Arial" w:hAnsi="Arial" w:cs="Arial"/>
          <w:spacing w:val="-21"/>
          <w:sz w:val="48"/>
          <w:szCs w:val="48"/>
          <w:lang w:val="en-AU"/>
        </w:rPr>
        <w:t>Coomera River</w:t>
      </w:r>
      <w:r w:rsidR="00FE6FA9">
        <w:rPr>
          <w:rFonts w:ascii="Arial" w:hAnsi="Arial" w:cs="Arial"/>
          <w:spacing w:val="-21"/>
          <w:sz w:val="48"/>
          <w:szCs w:val="48"/>
          <w:lang w:val="en-AU"/>
        </w:rPr>
        <w:t xml:space="preserve"> </w:t>
      </w:r>
    </w:p>
    <w:p w:rsidR="00ED08D4" w:rsidRPr="009219F1" w:rsidRDefault="00ED08D4" w:rsidP="00ED08D4">
      <w:pPr>
        <w:tabs>
          <w:tab w:val="left" w:pos="9790"/>
        </w:tabs>
        <w:spacing w:after="0" w:line="240" w:lineRule="auto"/>
        <w:ind w:left="550" w:right="-40"/>
        <w:rPr>
          <w:rFonts w:ascii="Arial" w:hAnsi="Arial" w:cs="Arial"/>
          <w:spacing w:val="-21"/>
          <w:szCs w:val="48"/>
          <w:lang w:val="en-AU"/>
        </w:rPr>
      </w:pPr>
    </w:p>
    <w:p w:rsidR="00CD26D1" w:rsidRPr="009219F1" w:rsidRDefault="000B54C2" w:rsidP="00ED08D4">
      <w:pPr>
        <w:tabs>
          <w:tab w:val="left" w:pos="9790"/>
        </w:tabs>
        <w:spacing w:after="0" w:line="240" w:lineRule="auto"/>
        <w:ind w:left="550" w:right="-40"/>
        <w:rPr>
          <w:rFonts w:ascii="Arial" w:hAnsi="Arial" w:cs="Arial"/>
          <w:sz w:val="32"/>
          <w:szCs w:val="48"/>
        </w:rPr>
      </w:pPr>
      <w:r>
        <w:rPr>
          <w:rFonts w:ascii="Arial" w:hAnsi="Arial" w:cs="Arial"/>
          <w:spacing w:val="-21"/>
          <w:sz w:val="32"/>
          <w:szCs w:val="48"/>
          <w:lang w:val="en-AU"/>
        </w:rPr>
        <w:t>January 2017</w:t>
      </w:r>
    </w:p>
    <w:p w:rsidR="00FE6FA9" w:rsidRPr="00ED08D4" w:rsidRDefault="00FE6FA9" w:rsidP="00B2636D">
      <w:pPr>
        <w:pStyle w:val="Bullet"/>
        <w:numPr>
          <w:ilvl w:val="0"/>
          <w:numId w:val="0"/>
        </w:numPr>
        <w:spacing w:before="0" w:after="0" w:line="276" w:lineRule="auto"/>
        <w:ind w:left="567"/>
        <w:rPr>
          <w:rFonts w:eastAsia="Calibri" w:cs="Arial"/>
          <w:sz w:val="28"/>
          <w:szCs w:val="20"/>
          <w:lang w:val="en-AU" w:eastAsia="en-US"/>
        </w:rPr>
      </w:pPr>
    </w:p>
    <w:p w:rsidR="00F47DC8" w:rsidRPr="00B2636D" w:rsidRDefault="00DC1B22" w:rsidP="00B2636D">
      <w:pPr>
        <w:pStyle w:val="Bullet"/>
        <w:numPr>
          <w:ilvl w:val="0"/>
          <w:numId w:val="0"/>
        </w:numPr>
        <w:spacing w:before="0" w:after="0" w:line="276" w:lineRule="auto"/>
        <w:ind w:left="567"/>
        <w:rPr>
          <w:rFonts w:eastAsia="Calibri" w:cs="Arial"/>
          <w:szCs w:val="20"/>
          <w:lang w:val="en-AU" w:eastAsia="en-US"/>
        </w:rPr>
      </w:pPr>
      <w:r w:rsidRPr="00B2636D">
        <w:rPr>
          <w:rFonts w:eastAsia="Calibri" w:cs="Arial"/>
          <w:szCs w:val="20"/>
          <w:lang w:val="en-AU" w:eastAsia="en-US"/>
        </w:rPr>
        <w:t xml:space="preserve">Queensland Rail </w:t>
      </w:r>
      <w:r w:rsidR="00F037BC" w:rsidRPr="00B2636D">
        <w:rPr>
          <w:rFonts w:eastAsia="Calibri" w:cs="Arial"/>
          <w:szCs w:val="20"/>
          <w:lang w:val="en-AU" w:eastAsia="en-US"/>
        </w:rPr>
        <w:t>is duplicating the final section of single track on the Gold Coast line, between Coomera and Helensvale stations</w:t>
      </w:r>
      <w:r w:rsidR="009C2088" w:rsidRPr="00B2636D">
        <w:rPr>
          <w:rFonts w:eastAsia="Calibri" w:cs="Arial"/>
          <w:szCs w:val="20"/>
          <w:lang w:val="en-AU" w:eastAsia="en-US"/>
        </w:rPr>
        <w:t>.</w:t>
      </w:r>
      <w:r w:rsidR="00DC5742" w:rsidRPr="00B2636D">
        <w:rPr>
          <w:rFonts w:eastAsia="Calibri" w:cs="Arial"/>
          <w:szCs w:val="20"/>
          <w:lang w:val="en-AU" w:eastAsia="en-US"/>
        </w:rPr>
        <w:t xml:space="preserve"> </w:t>
      </w:r>
      <w:r w:rsidR="00D461C0" w:rsidRPr="00B2636D">
        <w:rPr>
          <w:rFonts w:eastAsia="Calibri" w:cs="Arial"/>
          <w:szCs w:val="20"/>
          <w:lang w:val="en-AU" w:eastAsia="en-US"/>
        </w:rPr>
        <w:t>The Coomera to Helensvale Duplication involves constructi</w:t>
      </w:r>
      <w:r w:rsidR="00D461C0">
        <w:rPr>
          <w:rFonts w:eastAsia="Calibri" w:cs="Arial"/>
          <w:szCs w:val="20"/>
          <w:lang w:val="en-AU" w:eastAsia="en-US"/>
        </w:rPr>
        <w:t xml:space="preserve">ng </w:t>
      </w:r>
      <w:r w:rsidR="00D461C0" w:rsidRPr="00B2636D">
        <w:rPr>
          <w:rFonts w:eastAsia="Calibri" w:cs="Arial"/>
          <w:szCs w:val="20"/>
          <w:lang w:val="en-AU" w:eastAsia="en-US"/>
        </w:rPr>
        <w:t>8.2 kilometres of track and eight rail bridges, installing overhead electrification and signalling systems, and replacing 3.8 kilometres of timber barrier fencing.</w:t>
      </w:r>
    </w:p>
    <w:p w:rsidR="00DC5742" w:rsidRPr="00B2636D" w:rsidRDefault="00DC5742" w:rsidP="00B2636D">
      <w:pPr>
        <w:pStyle w:val="Bullet"/>
        <w:numPr>
          <w:ilvl w:val="0"/>
          <w:numId w:val="0"/>
        </w:numPr>
        <w:spacing w:before="0" w:after="0" w:line="276" w:lineRule="auto"/>
        <w:rPr>
          <w:rFonts w:eastAsia="Calibri" w:cs="Arial"/>
          <w:b/>
          <w:szCs w:val="20"/>
          <w:lang w:val="en-AU" w:eastAsia="en-US"/>
        </w:rPr>
      </w:pPr>
    </w:p>
    <w:p w:rsidR="00AE2FE1" w:rsidRPr="004B2473" w:rsidRDefault="000B54C2" w:rsidP="00A55219">
      <w:pPr>
        <w:pStyle w:val="Bullet"/>
        <w:numPr>
          <w:ilvl w:val="0"/>
          <w:numId w:val="0"/>
        </w:numPr>
        <w:spacing w:before="0" w:after="0" w:line="276" w:lineRule="auto"/>
        <w:ind w:left="567"/>
        <w:rPr>
          <w:rFonts w:eastAsia="Calibri" w:cs="Arial"/>
          <w:szCs w:val="20"/>
          <w:lang w:val="en-AU" w:eastAsia="en-US"/>
        </w:rPr>
      </w:pPr>
      <w:r>
        <w:rPr>
          <w:rFonts w:eastAsia="Calibri" w:cs="Arial"/>
          <w:szCs w:val="20"/>
          <w:lang w:val="en-AU" w:eastAsia="en-US"/>
        </w:rPr>
        <w:t>As part of construction of the new rail bridge, which crosses Coomera River, Hope Island</w:t>
      </w:r>
      <w:r w:rsidR="00486394">
        <w:rPr>
          <w:rFonts w:eastAsia="Calibri" w:cs="Arial"/>
          <w:szCs w:val="20"/>
          <w:lang w:val="en-AU" w:eastAsia="en-US"/>
        </w:rPr>
        <w:t xml:space="preserve"> Road and Saltwater Creek, seven piers are being constructed in the Coomera River waterway. </w:t>
      </w:r>
    </w:p>
    <w:p w:rsidR="000E68D8" w:rsidRDefault="000E68D8" w:rsidP="00B2636D">
      <w:pPr>
        <w:pStyle w:val="Bullet"/>
        <w:numPr>
          <w:ilvl w:val="0"/>
          <w:numId w:val="0"/>
        </w:numPr>
        <w:spacing w:before="0" w:after="0" w:line="276" w:lineRule="auto"/>
        <w:ind w:left="567"/>
        <w:rPr>
          <w:rFonts w:eastAsia="Calibri" w:cs="Arial"/>
          <w:b/>
          <w:szCs w:val="20"/>
          <w:lang w:val="en-AU" w:eastAsia="en-US"/>
        </w:rPr>
      </w:pPr>
    </w:p>
    <w:p w:rsidR="000E68D8" w:rsidRPr="00486394" w:rsidRDefault="00F6228E" w:rsidP="00B2636D">
      <w:pPr>
        <w:pStyle w:val="Bullet"/>
        <w:numPr>
          <w:ilvl w:val="0"/>
          <w:numId w:val="0"/>
        </w:numPr>
        <w:spacing w:before="0" w:after="0" w:line="276" w:lineRule="auto"/>
        <w:ind w:left="567"/>
        <w:rPr>
          <w:rFonts w:eastAsia="Calibri" w:cs="Arial"/>
          <w:szCs w:val="20"/>
          <w:lang w:val="en-AU" w:eastAsia="en-US"/>
        </w:rPr>
      </w:pPr>
      <w:r>
        <w:rPr>
          <w:rFonts w:eastAsia="Calibri" w:cs="Arial"/>
          <w:b/>
          <w:szCs w:val="20"/>
          <w:lang w:val="en-AU" w:eastAsia="en-US"/>
        </w:rPr>
        <w:t>From</w:t>
      </w:r>
      <w:r w:rsidR="00486394">
        <w:rPr>
          <w:rFonts w:eastAsia="Calibri" w:cs="Arial"/>
          <w:b/>
          <w:szCs w:val="20"/>
          <w:lang w:val="en-AU" w:eastAsia="en-US"/>
        </w:rPr>
        <w:t xml:space="preserve"> 31 January to 28 February</w:t>
      </w:r>
      <w:r w:rsidR="00E82CB1">
        <w:rPr>
          <w:rFonts w:eastAsia="Calibri" w:cs="Arial"/>
          <w:b/>
          <w:szCs w:val="20"/>
          <w:lang w:val="en-AU" w:eastAsia="en-US"/>
        </w:rPr>
        <w:t xml:space="preserve"> 2017</w:t>
      </w:r>
      <w:r w:rsidR="00486394">
        <w:rPr>
          <w:rFonts w:eastAsia="Calibri" w:cs="Arial"/>
          <w:b/>
          <w:szCs w:val="20"/>
          <w:lang w:val="en-AU" w:eastAsia="en-US"/>
        </w:rPr>
        <w:t xml:space="preserve">, piling works in Coomera River may, if required, </w:t>
      </w:r>
      <w:r w:rsidR="00E76D4E">
        <w:rPr>
          <w:rFonts w:eastAsia="Calibri" w:cs="Arial"/>
          <w:b/>
          <w:szCs w:val="20"/>
          <w:lang w:val="en-AU" w:eastAsia="en-US"/>
        </w:rPr>
        <w:t>continue to occur</w:t>
      </w:r>
      <w:r w:rsidR="00486394">
        <w:rPr>
          <w:rFonts w:eastAsia="Calibri" w:cs="Arial"/>
          <w:b/>
          <w:szCs w:val="20"/>
          <w:lang w:val="en-AU" w:eastAsia="en-US"/>
        </w:rPr>
        <w:t xml:space="preserve"> from 6am each working morning and continue until 9pm each working night (Monday to Saturday).</w:t>
      </w:r>
      <w:r w:rsidR="000E68D8">
        <w:rPr>
          <w:rFonts w:eastAsia="Calibri" w:cs="Arial"/>
          <w:b/>
          <w:szCs w:val="20"/>
          <w:lang w:val="en-AU" w:eastAsia="en-US"/>
        </w:rPr>
        <w:t xml:space="preserve"> </w:t>
      </w:r>
      <w:r w:rsidR="00486394">
        <w:rPr>
          <w:rFonts w:eastAsia="Calibri" w:cs="Arial"/>
          <w:szCs w:val="20"/>
          <w:lang w:val="en-AU" w:eastAsia="en-US"/>
        </w:rPr>
        <w:t xml:space="preserve">This is due to the large size of the piles and volume of concrete required for concrete pours. </w:t>
      </w:r>
    </w:p>
    <w:p w:rsidR="000E68D8" w:rsidRPr="00B2636D" w:rsidRDefault="000E68D8" w:rsidP="000E68D8">
      <w:pPr>
        <w:pStyle w:val="Bullet"/>
        <w:numPr>
          <w:ilvl w:val="0"/>
          <w:numId w:val="0"/>
        </w:numPr>
        <w:spacing w:before="0" w:after="0" w:line="276" w:lineRule="auto"/>
        <w:ind w:left="567"/>
        <w:rPr>
          <w:rFonts w:eastAsia="Calibri" w:cs="Arial"/>
          <w:szCs w:val="20"/>
          <w:lang w:val="en-AU" w:eastAsia="en-US"/>
        </w:rPr>
      </w:pPr>
    </w:p>
    <w:p w:rsidR="00A55219" w:rsidRPr="00CE2116" w:rsidRDefault="00CE2116" w:rsidP="00B2636D">
      <w:pPr>
        <w:pStyle w:val="Bullet"/>
        <w:numPr>
          <w:ilvl w:val="0"/>
          <w:numId w:val="0"/>
        </w:numPr>
        <w:spacing w:before="0" w:after="0" w:line="276" w:lineRule="auto"/>
        <w:ind w:left="567"/>
        <w:rPr>
          <w:rFonts w:eastAsia="Calibri" w:cs="Arial"/>
          <w:szCs w:val="20"/>
          <w:lang w:val="en-AU" w:eastAsia="en-US"/>
        </w:rPr>
      </w:pPr>
      <w:r w:rsidRPr="00CE2116">
        <w:rPr>
          <w:rFonts w:eastAsia="Calibri" w:cs="Arial"/>
          <w:szCs w:val="20"/>
          <w:lang w:val="en-AU" w:eastAsia="en-US"/>
        </w:rPr>
        <w:t>Users of Coomera River</w:t>
      </w:r>
      <w:r>
        <w:rPr>
          <w:rFonts w:eastAsia="Calibri" w:cs="Arial"/>
          <w:szCs w:val="20"/>
          <w:lang w:val="en-AU" w:eastAsia="en-US"/>
        </w:rPr>
        <w:t xml:space="preserve"> </w:t>
      </w:r>
      <w:r w:rsidR="00F6228E">
        <w:rPr>
          <w:rFonts w:eastAsia="Calibri" w:cs="Arial"/>
          <w:szCs w:val="20"/>
          <w:lang w:val="en-AU" w:eastAsia="en-US"/>
        </w:rPr>
        <w:t xml:space="preserve">and nearby residents </w:t>
      </w:r>
      <w:r>
        <w:rPr>
          <w:rFonts w:eastAsia="Calibri" w:cs="Arial"/>
          <w:szCs w:val="20"/>
          <w:lang w:val="en-AU" w:eastAsia="en-US"/>
        </w:rPr>
        <w:t xml:space="preserve">are advised to expect </w:t>
      </w:r>
      <w:r w:rsidR="00D4286C">
        <w:rPr>
          <w:rFonts w:eastAsia="Calibri" w:cs="Arial"/>
          <w:szCs w:val="20"/>
          <w:lang w:val="en-AU" w:eastAsia="en-US"/>
        </w:rPr>
        <w:t>the operation of piling rigs, cranes</w:t>
      </w:r>
      <w:r w:rsidR="00A61BD0">
        <w:rPr>
          <w:rFonts w:eastAsia="Calibri" w:cs="Arial"/>
          <w:szCs w:val="20"/>
          <w:lang w:val="en-AU" w:eastAsia="en-US"/>
        </w:rPr>
        <w:t>, lighting towers</w:t>
      </w:r>
      <w:r w:rsidR="00D4286C">
        <w:rPr>
          <w:rFonts w:eastAsia="Calibri" w:cs="Arial"/>
          <w:szCs w:val="20"/>
          <w:lang w:val="en-AU" w:eastAsia="en-US"/>
        </w:rPr>
        <w:t xml:space="preserve"> and other machinery near the rail bridge b</w:t>
      </w:r>
      <w:r w:rsidR="00486394">
        <w:rPr>
          <w:rFonts w:eastAsia="Calibri" w:cs="Arial"/>
          <w:szCs w:val="20"/>
          <w:lang w:val="en-AU" w:eastAsia="en-US"/>
        </w:rPr>
        <w:t>etween the hours of 6</w:t>
      </w:r>
      <w:r w:rsidR="00F6228E">
        <w:rPr>
          <w:rFonts w:eastAsia="Calibri" w:cs="Arial"/>
          <w:szCs w:val="20"/>
          <w:lang w:val="en-AU" w:eastAsia="en-US"/>
        </w:rPr>
        <w:t>am</w:t>
      </w:r>
      <w:r w:rsidR="000F0B9E">
        <w:rPr>
          <w:rFonts w:eastAsia="Calibri" w:cs="Arial"/>
          <w:szCs w:val="20"/>
          <w:lang w:val="en-AU" w:eastAsia="en-US"/>
        </w:rPr>
        <w:t xml:space="preserve"> and 9pm, if required. </w:t>
      </w:r>
    </w:p>
    <w:p w:rsidR="00365177" w:rsidRPr="00B2636D" w:rsidRDefault="00365177" w:rsidP="00B2636D">
      <w:pPr>
        <w:pStyle w:val="Bullet"/>
        <w:numPr>
          <w:ilvl w:val="0"/>
          <w:numId w:val="0"/>
        </w:numPr>
        <w:spacing w:before="0" w:after="0" w:line="276" w:lineRule="auto"/>
        <w:ind w:left="567"/>
        <w:rPr>
          <w:rFonts w:eastAsia="Calibri" w:cs="Arial"/>
          <w:b/>
          <w:szCs w:val="20"/>
          <w:lang w:val="en-AU" w:eastAsia="en-US"/>
        </w:rPr>
      </w:pPr>
    </w:p>
    <w:p w:rsidR="00427F3C" w:rsidRPr="00B2636D" w:rsidRDefault="00427F3C" w:rsidP="00B2636D">
      <w:pPr>
        <w:keepNext/>
        <w:keepLines/>
        <w:widowControl/>
        <w:tabs>
          <w:tab w:val="left" w:pos="10120"/>
        </w:tabs>
        <w:spacing w:after="0"/>
        <w:ind w:left="567" w:right="420"/>
        <w:outlineLvl w:val="2"/>
        <w:rPr>
          <w:rFonts w:ascii="Arial" w:eastAsia="Times New Roman" w:hAnsi="Arial" w:cs="Arial"/>
          <w:b/>
          <w:bCs/>
          <w:sz w:val="20"/>
          <w:szCs w:val="20"/>
        </w:rPr>
      </w:pPr>
      <w:r w:rsidRPr="00B2636D">
        <w:rPr>
          <w:rFonts w:ascii="Arial" w:eastAsia="Times New Roman" w:hAnsi="Arial" w:cs="Arial"/>
          <w:b/>
          <w:bCs/>
          <w:sz w:val="20"/>
          <w:szCs w:val="20"/>
        </w:rPr>
        <w:t>Overview of work</w:t>
      </w:r>
    </w:p>
    <w:tbl>
      <w:tblPr>
        <w:tblW w:w="1006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1985"/>
        <w:gridCol w:w="3402"/>
        <w:gridCol w:w="4678"/>
      </w:tblGrid>
      <w:tr w:rsidR="00427F3C" w:rsidRPr="00B2636D" w:rsidTr="00810F6A">
        <w:trPr>
          <w:trHeight w:val="288"/>
        </w:trPr>
        <w:tc>
          <w:tcPr>
            <w:tcW w:w="1985" w:type="dxa"/>
            <w:tcBorders>
              <w:bottom w:val="single" w:sz="4" w:space="0" w:color="BFBFBF" w:themeColor="background1" w:themeShade="BF"/>
            </w:tcBorders>
            <w:shd w:val="clear" w:color="auto" w:fill="404040" w:themeFill="text1" w:themeFillTint="BF"/>
            <w:vAlign w:val="center"/>
          </w:tcPr>
          <w:p w:rsidR="00427F3C" w:rsidRPr="00B2636D" w:rsidRDefault="00427F3C" w:rsidP="00B2636D">
            <w:pPr>
              <w:tabs>
                <w:tab w:val="left" w:pos="1430"/>
                <w:tab w:val="left" w:pos="10120"/>
              </w:tabs>
              <w:spacing w:after="0"/>
              <w:ind w:left="440" w:right="420" w:hanging="44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2636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Location</w:t>
            </w:r>
          </w:p>
        </w:tc>
        <w:tc>
          <w:tcPr>
            <w:tcW w:w="3402" w:type="dxa"/>
            <w:tcBorders>
              <w:bottom w:val="single" w:sz="4" w:space="0" w:color="BFBFBF" w:themeColor="background1" w:themeShade="BF"/>
            </w:tcBorders>
            <w:shd w:val="clear" w:color="auto" w:fill="404040" w:themeFill="text1" w:themeFillTint="BF"/>
            <w:vAlign w:val="center"/>
          </w:tcPr>
          <w:p w:rsidR="00427F3C" w:rsidRPr="00B2636D" w:rsidRDefault="00427F3C" w:rsidP="00B2636D">
            <w:pPr>
              <w:tabs>
                <w:tab w:val="left" w:pos="10120"/>
              </w:tabs>
              <w:spacing w:after="0"/>
              <w:ind w:right="-98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2636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Dates and hours of work</w:t>
            </w:r>
          </w:p>
        </w:tc>
        <w:tc>
          <w:tcPr>
            <w:tcW w:w="4678" w:type="dxa"/>
            <w:tcBorders>
              <w:bottom w:val="single" w:sz="4" w:space="0" w:color="BFBFBF" w:themeColor="background1" w:themeShade="BF"/>
            </w:tcBorders>
            <w:shd w:val="clear" w:color="auto" w:fill="404040" w:themeFill="text1" w:themeFillTint="BF"/>
            <w:vAlign w:val="center"/>
          </w:tcPr>
          <w:p w:rsidR="00427F3C" w:rsidRPr="00B2636D" w:rsidRDefault="00427F3C" w:rsidP="00B2636D">
            <w:pPr>
              <w:tabs>
                <w:tab w:val="left" w:pos="10120"/>
              </w:tabs>
              <w:spacing w:after="0"/>
              <w:ind w:right="8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2636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Type of work</w:t>
            </w:r>
          </w:p>
        </w:tc>
      </w:tr>
      <w:tr w:rsidR="00427F3C" w:rsidRPr="00B2636D" w:rsidTr="00810F6A">
        <w:trPr>
          <w:trHeight w:val="1798"/>
        </w:trPr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427F3C" w:rsidRPr="001B68A9" w:rsidRDefault="001B68A9" w:rsidP="001B68A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Coomera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River near the rail bridge 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8814AE" w:rsidRPr="0003371C" w:rsidRDefault="00486394" w:rsidP="001B68A9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t>Tuesday</w:t>
            </w:r>
            <w:r w:rsidR="00B23B09" w:rsidRPr="0003371C">
              <w:rPr>
                <w:rFonts w:ascii="Arial" w:hAnsi="Arial" w:cs="Arial"/>
                <w:b/>
                <w:sz w:val="20"/>
                <w:szCs w:val="20"/>
                <w:lang w:val="en-AU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t>31 January – Tuesday 28 February 2017</w:t>
            </w:r>
            <w:r w:rsidR="00974711" w:rsidRPr="0003371C">
              <w:rPr>
                <w:rFonts w:ascii="Arial" w:hAnsi="Arial" w:cs="Arial"/>
                <w:b/>
                <w:sz w:val="20"/>
                <w:szCs w:val="20"/>
                <w:lang w:val="en-AU"/>
              </w:rPr>
              <w:t xml:space="preserve"> </w:t>
            </w:r>
          </w:p>
          <w:p w:rsidR="00427F3C" w:rsidRPr="0003371C" w:rsidRDefault="00486394" w:rsidP="00B23B09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t>6</w:t>
            </w:r>
            <w:r w:rsidR="00A55219" w:rsidRPr="0003371C">
              <w:rPr>
                <w:rFonts w:ascii="Arial" w:hAnsi="Arial" w:cs="Arial"/>
                <w:b/>
                <w:sz w:val="20"/>
                <w:szCs w:val="20"/>
                <w:lang w:val="en-AU"/>
              </w:rPr>
              <w:t xml:space="preserve">am – </w:t>
            </w:r>
            <w:r w:rsidR="001B68A9">
              <w:rPr>
                <w:rFonts w:ascii="Arial" w:hAnsi="Arial" w:cs="Arial"/>
                <w:b/>
                <w:sz w:val="20"/>
                <w:szCs w:val="20"/>
                <w:lang w:val="en-AU"/>
              </w:rPr>
              <w:t>9p</w:t>
            </w:r>
            <w:r w:rsidR="00A55219" w:rsidRPr="0003371C">
              <w:rPr>
                <w:rFonts w:ascii="Arial" w:hAnsi="Arial" w:cs="Arial"/>
                <w:b/>
                <w:sz w:val="20"/>
                <w:szCs w:val="20"/>
                <w:lang w:val="en-AU"/>
              </w:rPr>
              <w:t>m</w:t>
            </w:r>
          </w:p>
          <w:p w:rsidR="009D4EBE" w:rsidRDefault="009D4EBE" w:rsidP="00B23B09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9D4EBE" w:rsidRPr="00B2636D" w:rsidRDefault="00E635EE" w:rsidP="001B68A9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(after hours work</w:t>
            </w:r>
            <w:r w:rsidR="00486394">
              <w:rPr>
                <w:rFonts w:ascii="Arial" w:hAnsi="Arial" w:cs="Arial"/>
                <w:sz w:val="20"/>
                <w:szCs w:val="20"/>
                <w:lang w:val="en-AU"/>
              </w:rPr>
              <w:t>, if required</w:t>
            </w:r>
            <w:r w:rsidR="001B68A9">
              <w:rPr>
                <w:rFonts w:ascii="Arial" w:hAnsi="Arial" w:cs="Arial"/>
                <w:sz w:val="20"/>
                <w:szCs w:val="20"/>
                <w:lang w:val="en-AU"/>
              </w:rPr>
              <w:t>)</w:t>
            </w:r>
          </w:p>
        </w:tc>
        <w:tc>
          <w:tcPr>
            <w:tcW w:w="46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23B09" w:rsidRDefault="009219F1" w:rsidP="003E6091">
            <w:pPr>
              <w:pStyle w:val="ListParagraph"/>
              <w:numPr>
                <w:ilvl w:val="0"/>
                <w:numId w:val="24"/>
              </w:numPr>
              <w:spacing w:after="0"/>
              <w:ind w:left="317" w:hanging="317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Piling works</w:t>
            </w:r>
          </w:p>
          <w:p w:rsidR="009219F1" w:rsidRDefault="009219F1" w:rsidP="003E6091">
            <w:pPr>
              <w:pStyle w:val="ListParagraph"/>
              <w:numPr>
                <w:ilvl w:val="0"/>
                <w:numId w:val="24"/>
              </w:numPr>
              <w:spacing w:after="0"/>
              <w:ind w:left="317" w:hanging="317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 xml:space="preserve">Use of large equipment, machinery (including cranes) and vehicles </w:t>
            </w:r>
          </w:p>
          <w:p w:rsidR="009219F1" w:rsidRPr="00B2636D" w:rsidRDefault="009219F1" w:rsidP="003E6091">
            <w:pPr>
              <w:pStyle w:val="ListParagraph"/>
              <w:numPr>
                <w:ilvl w:val="0"/>
                <w:numId w:val="24"/>
              </w:numPr>
              <w:spacing w:after="0"/>
              <w:ind w:left="317" w:hanging="317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Use of mobile lighting towers</w:t>
            </w:r>
            <w:r w:rsidR="00486394">
              <w:rPr>
                <w:rFonts w:ascii="Arial" w:hAnsi="Arial" w:cs="Arial"/>
                <w:sz w:val="20"/>
                <w:szCs w:val="20"/>
                <w:lang w:val="en-AU"/>
              </w:rPr>
              <w:t xml:space="preserve">. </w:t>
            </w:r>
          </w:p>
        </w:tc>
      </w:tr>
      <w:tr w:rsidR="00427F3C" w:rsidRPr="00B2636D" w:rsidTr="00046598">
        <w:trPr>
          <w:trHeight w:val="1624"/>
        </w:trPr>
        <w:tc>
          <w:tcPr>
            <w:tcW w:w="1006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BB636F" w:rsidRDefault="00C4695C" w:rsidP="00B2636D">
            <w:pPr>
              <w:pStyle w:val="Bullet"/>
              <w:numPr>
                <w:ilvl w:val="0"/>
                <w:numId w:val="0"/>
              </w:numPr>
              <w:spacing w:before="0" w:after="0" w:line="276" w:lineRule="auto"/>
              <w:rPr>
                <w:rFonts w:eastAsia="Calibri" w:cs="Arial"/>
                <w:szCs w:val="20"/>
                <w:lang w:val="en-AU" w:eastAsia="en-US"/>
              </w:rPr>
            </w:pPr>
            <w:r w:rsidRPr="00B2636D">
              <w:rPr>
                <w:rFonts w:eastAsia="Calibri" w:cs="Arial"/>
                <w:szCs w:val="20"/>
                <w:lang w:val="en-AU" w:eastAsia="en-US"/>
              </w:rPr>
              <w:t xml:space="preserve">Residents located near this area </w:t>
            </w:r>
            <w:r w:rsidR="00E46A7C" w:rsidRPr="00B2636D">
              <w:rPr>
                <w:rFonts w:eastAsia="Calibri" w:cs="Arial"/>
                <w:szCs w:val="20"/>
                <w:lang w:val="en-AU" w:eastAsia="en-US"/>
              </w:rPr>
              <w:t>may</w:t>
            </w:r>
            <w:r w:rsidRPr="00B2636D">
              <w:rPr>
                <w:rFonts w:eastAsia="Calibri" w:cs="Arial"/>
                <w:szCs w:val="20"/>
                <w:lang w:val="en-AU" w:eastAsia="en-US"/>
              </w:rPr>
              <w:t xml:space="preserve"> experience </w:t>
            </w:r>
            <w:r w:rsidR="00540F73" w:rsidRPr="00B2636D">
              <w:rPr>
                <w:rFonts w:eastAsia="Calibri" w:cs="Arial"/>
                <w:szCs w:val="20"/>
                <w:lang w:val="en-AU" w:eastAsia="en-US"/>
              </w:rPr>
              <w:t>noise from</w:t>
            </w:r>
            <w:r w:rsidR="00A106D8">
              <w:rPr>
                <w:rFonts w:eastAsia="Calibri" w:cs="Arial"/>
                <w:szCs w:val="20"/>
                <w:lang w:val="en-AU" w:eastAsia="en-US"/>
              </w:rPr>
              <w:t xml:space="preserve"> piling works and construction machinery, as well </w:t>
            </w:r>
            <w:r w:rsidR="000F28A4">
              <w:rPr>
                <w:rFonts w:eastAsia="Calibri" w:cs="Arial"/>
                <w:szCs w:val="20"/>
                <w:lang w:val="en-AU" w:eastAsia="en-US"/>
              </w:rPr>
              <w:t xml:space="preserve">as lighting associated with the construction activities. </w:t>
            </w:r>
          </w:p>
          <w:p w:rsidR="00486394" w:rsidRDefault="00486394" w:rsidP="00B2636D">
            <w:pPr>
              <w:pStyle w:val="Bullet"/>
              <w:numPr>
                <w:ilvl w:val="0"/>
                <w:numId w:val="0"/>
              </w:numPr>
              <w:spacing w:before="0" w:after="0" w:line="276" w:lineRule="auto"/>
              <w:rPr>
                <w:rFonts w:eastAsia="Calibri" w:cs="Arial"/>
                <w:szCs w:val="20"/>
                <w:lang w:val="en-AU" w:eastAsia="en-US"/>
              </w:rPr>
            </w:pPr>
          </w:p>
          <w:p w:rsidR="00486394" w:rsidRPr="00B2636D" w:rsidRDefault="00486394" w:rsidP="00B2636D">
            <w:pPr>
              <w:pStyle w:val="Bullet"/>
              <w:numPr>
                <w:ilvl w:val="0"/>
                <w:numId w:val="0"/>
              </w:numPr>
              <w:spacing w:before="0" w:after="0" w:line="276" w:lineRule="auto"/>
              <w:rPr>
                <w:rFonts w:eastAsia="Calibri" w:cs="Arial"/>
                <w:szCs w:val="20"/>
                <w:lang w:val="en-AU" w:eastAsia="en-US"/>
              </w:rPr>
            </w:pPr>
            <w:r>
              <w:rPr>
                <w:rFonts w:eastAsia="Calibri" w:cs="Arial"/>
                <w:szCs w:val="20"/>
                <w:lang w:val="en-AU" w:eastAsia="en-US"/>
              </w:rPr>
              <w:t xml:space="preserve">An appropriate navigation channel in Coomera River will be maintained at all times. Please take care and follow navigation directions around the work zones. </w:t>
            </w:r>
          </w:p>
          <w:p w:rsidR="00C4695C" w:rsidRPr="00B2636D" w:rsidRDefault="00C4695C" w:rsidP="00B2636D">
            <w:pPr>
              <w:pStyle w:val="Bullet"/>
              <w:numPr>
                <w:ilvl w:val="0"/>
                <w:numId w:val="0"/>
              </w:numPr>
              <w:spacing w:before="0" w:after="0" w:line="276" w:lineRule="auto"/>
              <w:rPr>
                <w:rFonts w:eastAsia="Calibri" w:cs="Arial"/>
                <w:szCs w:val="20"/>
                <w:lang w:val="en-AU" w:eastAsia="en-US"/>
              </w:rPr>
            </w:pPr>
          </w:p>
          <w:p w:rsidR="00427F3C" w:rsidRPr="00B2636D" w:rsidRDefault="00C4695C" w:rsidP="00B23B09">
            <w:pPr>
              <w:pStyle w:val="Bullet"/>
              <w:numPr>
                <w:ilvl w:val="0"/>
                <w:numId w:val="0"/>
              </w:numPr>
              <w:spacing w:before="0" w:after="0" w:line="276" w:lineRule="auto"/>
              <w:rPr>
                <w:rFonts w:eastAsia="Calibri" w:cs="Arial"/>
                <w:szCs w:val="20"/>
                <w:lang w:val="en-AU" w:eastAsia="en-US"/>
              </w:rPr>
            </w:pPr>
            <w:r w:rsidRPr="00B2636D">
              <w:rPr>
                <w:rFonts w:eastAsia="Calibri" w:cs="Arial"/>
                <w:szCs w:val="20"/>
                <w:lang w:val="en-AU" w:eastAsia="en-US"/>
              </w:rPr>
              <w:t xml:space="preserve">Queensland Rail apologises for any inconvenience </w:t>
            </w:r>
            <w:r w:rsidR="00B23B09">
              <w:rPr>
                <w:rFonts w:eastAsia="Calibri" w:cs="Arial"/>
                <w:szCs w:val="20"/>
                <w:lang w:val="en-AU" w:eastAsia="en-US"/>
              </w:rPr>
              <w:t xml:space="preserve">caused </w:t>
            </w:r>
            <w:r w:rsidRPr="00B2636D">
              <w:rPr>
                <w:rFonts w:eastAsia="Calibri" w:cs="Arial"/>
                <w:szCs w:val="20"/>
                <w:lang w:val="en-AU" w:eastAsia="en-US"/>
              </w:rPr>
              <w:t xml:space="preserve">and </w:t>
            </w:r>
            <w:r w:rsidR="00B23B09">
              <w:rPr>
                <w:rFonts w:eastAsia="Calibri" w:cs="Arial"/>
                <w:szCs w:val="20"/>
                <w:lang w:val="en-AU" w:eastAsia="en-US"/>
              </w:rPr>
              <w:t xml:space="preserve">appreciates </w:t>
            </w:r>
            <w:r w:rsidRPr="00B2636D">
              <w:rPr>
                <w:rFonts w:eastAsia="Calibri" w:cs="Arial"/>
                <w:szCs w:val="20"/>
                <w:lang w:val="en-AU" w:eastAsia="en-US"/>
              </w:rPr>
              <w:t>the local community</w:t>
            </w:r>
            <w:r w:rsidR="00B23B09">
              <w:rPr>
                <w:rFonts w:eastAsia="Calibri" w:cs="Arial"/>
                <w:szCs w:val="20"/>
                <w:lang w:val="en-AU" w:eastAsia="en-US"/>
              </w:rPr>
              <w:t xml:space="preserve">’s </w:t>
            </w:r>
            <w:r w:rsidRPr="00B2636D">
              <w:rPr>
                <w:rFonts w:eastAsia="Calibri" w:cs="Arial"/>
                <w:szCs w:val="20"/>
                <w:lang w:val="en-AU" w:eastAsia="en-US"/>
              </w:rPr>
              <w:t xml:space="preserve">cooperation during these important works. </w:t>
            </w:r>
          </w:p>
        </w:tc>
      </w:tr>
    </w:tbl>
    <w:p w:rsidR="00427F3C" w:rsidRPr="00B2636D" w:rsidRDefault="00427F3C" w:rsidP="00B2636D">
      <w:pPr>
        <w:pStyle w:val="Bullet"/>
        <w:numPr>
          <w:ilvl w:val="0"/>
          <w:numId w:val="0"/>
        </w:numPr>
        <w:spacing w:before="0" w:after="0" w:line="276" w:lineRule="auto"/>
        <w:ind w:left="284" w:hanging="284"/>
        <w:rPr>
          <w:rFonts w:eastAsia="Calibri" w:cs="Arial"/>
          <w:szCs w:val="20"/>
          <w:lang w:val="en-AU" w:eastAsia="en-US"/>
        </w:rPr>
      </w:pPr>
    </w:p>
    <w:p w:rsidR="009253E5" w:rsidRDefault="009D54CB" w:rsidP="00B2636D">
      <w:pPr>
        <w:pStyle w:val="Bullet"/>
        <w:numPr>
          <w:ilvl w:val="0"/>
          <w:numId w:val="0"/>
        </w:numPr>
        <w:spacing w:before="0" w:after="0" w:line="276" w:lineRule="auto"/>
        <w:ind w:left="567"/>
        <w:rPr>
          <w:rFonts w:eastAsia="Calibri" w:cs="Arial"/>
          <w:szCs w:val="20"/>
          <w:lang w:val="en-AU" w:eastAsia="en-US"/>
        </w:rPr>
      </w:pPr>
      <w:r w:rsidRPr="00B2636D">
        <w:rPr>
          <w:rFonts w:eastAsia="Calibri" w:cs="Arial"/>
          <w:szCs w:val="20"/>
          <w:lang w:val="en-AU" w:eastAsia="en-US"/>
        </w:rPr>
        <w:t xml:space="preserve">For more information </w:t>
      </w:r>
      <w:r w:rsidR="00F51DAE" w:rsidRPr="00B2636D">
        <w:rPr>
          <w:rFonts w:eastAsia="Calibri" w:cs="Arial"/>
          <w:szCs w:val="20"/>
          <w:lang w:val="en-AU" w:eastAsia="en-US"/>
        </w:rPr>
        <w:t>about</w:t>
      </w:r>
      <w:r w:rsidRPr="00B2636D">
        <w:rPr>
          <w:rFonts w:eastAsia="Calibri" w:cs="Arial"/>
          <w:szCs w:val="20"/>
          <w:lang w:val="en-AU" w:eastAsia="en-US"/>
        </w:rPr>
        <w:t xml:space="preserve"> this </w:t>
      </w:r>
      <w:r w:rsidR="001978DF" w:rsidRPr="00B2636D">
        <w:rPr>
          <w:rFonts w:eastAsia="Calibri" w:cs="Arial"/>
          <w:szCs w:val="20"/>
          <w:lang w:val="en-AU" w:eastAsia="en-US"/>
        </w:rPr>
        <w:t>project</w:t>
      </w:r>
      <w:r w:rsidRPr="00B2636D">
        <w:rPr>
          <w:rFonts w:eastAsia="Calibri" w:cs="Arial"/>
          <w:szCs w:val="20"/>
          <w:lang w:val="en-AU" w:eastAsia="en-US"/>
        </w:rPr>
        <w:t xml:space="preserve"> please phone </w:t>
      </w:r>
      <w:r w:rsidR="001768B4" w:rsidRPr="00B2636D">
        <w:rPr>
          <w:rFonts w:eastAsia="Calibri" w:cs="Arial"/>
          <w:b/>
          <w:szCs w:val="20"/>
          <w:lang w:val="en-AU" w:eastAsia="en-US"/>
        </w:rPr>
        <w:t>1800 664 484</w:t>
      </w:r>
      <w:r w:rsidR="001768B4" w:rsidRPr="00B2636D">
        <w:rPr>
          <w:rFonts w:eastAsia="Calibri" w:cs="Arial"/>
          <w:szCs w:val="20"/>
          <w:lang w:val="en-AU" w:eastAsia="en-US"/>
        </w:rPr>
        <w:t xml:space="preserve"> (</w:t>
      </w:r>
      <w:r w:rsidR="009253E5">
        <w:rPr>
          <w:rFonts w:eastAsia="Calibri" w:cs="Arial"/>
          <w:szCs w:val="20"/>
          <w:lang w:val="en-AU" w:eastAsia="en-US"/>
        </w:rPr>
        <w:t>during construction hours</w:t>
      </w:r>
      <w:r w:rsidR="00F47DC8" w:rsidRPr="00B2636D">
        <w:rPr>
          <w:rFonts w:eastAsia="Calibri" w:cs="Arial"/>
          <w:szCs w:val="20"/>
          <w:lang w:val="en-AU" w:eastAsia="en-US"/>
        </w:rPr>
        <w:t xml:space="preserve">), </w:t>
      </w:r>
    </w:p>
    <w:p w:rsidR="0012613B" w:rsidRPr="00B2636D" w:rsidRDefault="009D54CB" w:rsidP="00B2636D">
      <w:pPr>
        <w:pStyle w:val="Bullet"/>
        <w:numPr>
          <w:ilvl w:val="0"/>
          <w:numId w:val="0"/>
        </w:numPr>
        <w:spacing w:before="0" w:after="0" w:line="276" w:lineRule="auto"/>
        <w:ind w:left="567"/>
        <w:rPr>
          <w:rFonts w:eastAsia="Calibri" w:cs="Arial"/>
          <w:szCs w:val="20"/>
          <w:lang w:val="en-AU" w:eastAsia="en-US"/>
        </w:rPr>
      </w:pPr>
      <w:r w:rsidRPr="00B2636D">
        <w:rPr>
          <w:rFonts w:eastAsia="Calibri" w:cs="Arial"/>
          <w:szCs w:val="20"/>
          <w:lang w:val="en-AU" w:eastAsia="en-US"/>
        </w:rPr>
        <w:t>email</w:t>
      </w:r>
      <w:r w:rsidR="003621D4" w:rsidRPr="00B2636D">
        <w:rPr>
          <w:rFonts w:eastAsia="Calibri" w:cs="Arial"/>
          <w:szCs w:val="20"/>
          <w:lang w:val="en-AU" w:eastAsia="en-US"/>
        </w:rPr>
        <w:t xml:space="preserve"> </w:t>
      </w:r>
      <w:r w:rsidR="00F47DC8" w:rsidRPr="00B2636D">
        <w:rPr>
          <w:rFonts w:eastAsia="Calibri" w:cs="Arial"/>
          <w:b/>
          <w:szCs w:val="20"/>
          <w:lang w:val="en-AU" w:eastAsia="en-US"/>
        </w:rPr>
        <w:t xml:space="preserve">C2H@qr.com.au </w:t>
      </w:r>
      <w:r w:rsidR="00F47DC8" w:rsidRPr="00B2636D">
        <w:rPr>
          <w:rFonts w:eastAsia="Calibri" w:cs="Arial"/>
          <w:szCs w:val="20"/>
          <w:lang w:val="en-AU" w:eastAsia="en-US"/>
        </w:rPr>
        <w:t>or visit</w:t>
      </w:r>
      <w:r w:rsidR="00F47DC8" w:rsidRPr="00B2636D">
        <w:rPr>
          <w:rFonts w:eastAsia="Calibri" w:cs="Arial"/>
          <w:b/>
          <w:szCs w:val="20"/>
          <w:lang w:val="en-AU" w:eastAsia="en-US"/>
        </w:rPr>
        <w:t xml:space="preserve"> queenslandrail.com.au/C2H</w:t>
      </w:r>
      <w:bookmarkStart w:id="0" w:name="_GoBack"/>
      <w:bookmarkEnd w:id="0"/>
    </w:p>
    <w:sectPr w:rsidR="0012613B" w:rsidRPr="00B2636D" w:rsidSect="00AD5B22">
      <w:headerReference w:type="default" r:id="rId8"/>
      <w:type w:val="continuous"/>
      <w:pgSz w:w="11920" w:h="16840"/>
      <w:pgMar w:top="1559" w:right="1134" w:bottom="278" w:left="48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5AF" w:rsidRDefault="007E35AF" w:rsidP="004448D3">
      <w:pPr>
        <w:spacing w:after="0" w:line="240" w:lineRule="auto"/>
      </w:pPr>
      <w:r>
        <w:separator/>
      </w:r>
    </w:p>
  </w:endnote>
  <w:endnote w:type="continuationSeparator" w:id="0">
    <w:p w:rsidR="007E35AF" w:rsidRDefault="007E35AF" w:rsidP="00444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5AF" w:rsidRDefault="007E35AF" w:rsidP="004448D3">
      <w:pPr>
        <w:spacing w:after="0" w:line="240" w:lineRule="auto"/>
      </w:pPr>
      <w:r>
        <w:separator/>
      </w:r>
    </w:p>
  </w:footnote>
  <w:footnote w:type="continuationSeparator" w:id="0">
    <w:p w:rsidR="007E35AF" w:rsidRDefault="007E35AF" w:rsidP="00444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CB1" w:rsidRDefault="00E82CB1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-306070</wp:posOffset>
          </wp:positionH>
          <wp:positionV relativeFrom="paragraph">
            <wp:posOffset>-456565</wp:posOffset>
          </wp:positionV>
          <wp:extent cx="7559675" cy="10706735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706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42F4"/>
    <w:multiLevelType w:val="hybridMultilevel"/>
    <w:tmpl w:val="856C0C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27BF8"/>
    <w:multiLevelType w:val="hybridMultilevel"/>
    <w:tmpl w:val="0212CED6"/>
    <w:lvl w:ilvl="0" w:tplc="056A300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CE2D93"/>
    <w:multiLevelType w:val="hybridMultilevel"/>
    <w:tmpl w:val="5AD038FE"/>
    <w:lvl w:ilvl="0" w:tplc="0C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362E3FB0"/>
    <w:multiLevelType w:val="hybridMultilevel"/>
    <w:tmpl w:val="77383A72"/>
    <w:lvl w:ilvl="0" w:tplc="5C2EC288">
      <w:start w:val="1"/>
      <w:numFmt w:val="bullet"/>
      <w:pStyle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80000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3C54C8"/>
    <w:multiLevelType w:val="hybridMultilevel"/>
    <w:tmpl w:val="A7DC5346"/>
    <w:lvl w:ilvl="0" w:tplc="70C81044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  <w:color w:val="C00000"/>
      </w:rPr>
    </w:lvl>
    <w:lvl w:ilvl="1" w:tplc="0C09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5">
    <w:nsid w:val="454A796D"/>
    <w:multiLevelType w:val="hybridMultilevel"/>
    <w:tmpl w:val="39C6E3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B3334D"/>
    <w:multiLevelType w:val="hybridMultilevel"/>
    <w:tmpl w:val="D76009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3EE0040"/>
    <w:multiLevelType w:val="hybridMultilevel"/>
    <w:tmpl w:val="9530FE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5F776DF"/>
    <w:multiLevelType w:val="multilevel"/>
    <w:tmpl w:val="40EAC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9F0119"/>
    <w:multiLevelType w:val="singleLevel"/>
    <w:tmpl w:val="99749C2A"/>
    <w:lvl w:ilvl="0">
      <w:start w:val="1"/>
      <w:numFmt w:val="bullet"/>
      <w:pStyle w:val="Bulletlevel1"/>
      <w:lvlText w:val="»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E6001E"/>
        <w:sz w:val="20"/>
        <w:szCs w:val="20"/>
      </w:rPr>
    </w:lvl>
  </w:abstractNum>
  <w:abstractNum w:abstractNumId="10">
    <w:nsid w:val="6F4C7A0C"/>
    <w:multiLevelType w:val="hybridMultilevel"/>
    <w:tmpl w:val="FB5216B4"/>
    <w:lvl w:ilvl="0" w:tplc="0C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6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3"/>
  </w:num>
  <w:num w:numId="9">
    <w:abstractNumId w:val="3"/>
  </w:num>
  <w:num w:numId="10">
    <w:abstractNumId w:val="3"/>
  </w:num>
  <w:num w:numId="11">
    <w:abstractNumId w:val="10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9"/>
  </w:num>
  <w:num w:numId="20">
    <w:abstractNumId w:val="3"/>
  </w:num>
  <w:num w:numId="21">
    <w:abstractNumId w:val="3"/>
  </w:num>
  <w:num w:numId="22">
    <w:abstractNumId w:val="8"/>
  </w:num>
  <w:num w:numId="23">
    <w:abstractNumId w:val="3"/>
  </w:num>
  <w:num w:numId="24">
    <w:abstractNumId w:val="0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A8F"/>
    <w:rsid w:val="00002351"/>
    <w:rsid w:val="00003086"/>
    <w:rsid w:val="000074D0"/>
    <w:rsid w:val="00010CC1"/>
    <w:rsid w:val="000168F2"/>
    <w:rsid w:val="00017580"/>
    <w:rsid w:val="00017A4F"/>
    <w:rsid w:val="000212B4"/>
    <w:rsid w:val="00032C38"/>
    <w:rsid w:val="0003371C"/>
    <w:rsid w:val="000373F0"/>
    <w:rsid w:val="00037DC7"/>
    <w:rsid w:val="00041392"/>
    <w:rsid w:val="00046598"/>
    <w:rsid w:val="000478B6"/>
    <w:rsid w:val="00060CBF"/>
    <w:rsid w:val="0006155F"/>
    <w:rsid w:val="00067E52"/>
    <w:rsid w:val="00076EBB"/>
    <w:rsid w:val="00081C44"/>
    <w:rsid w:val="000975C0"/>
    <w:rsid w:val="000A42EB"/>
    <w:rsid w:val="000B0437"/>
    <w:rsid w:val="000B1CF8"/>
    <w:rsid w:val="000B4D0E"/>
    <w:rsid w:val="000B54C2"/>
    <w:rsid w:val="000B778E"/>
    <w:rsid w:val="000C19BD"/>
    <w:rsid w:val="000D53E9"/>
    <w:rsid w:val="000D725A"/>
    <w:rsid w:val="000E5B28"/>
    <w:rsid w:val="000E68D8"/>
    <w:rsid w:val="000E7090"/>
    <w:rsid w:val="000E70AA"/>
    <w:rsid w:val="000E7ED4"/>
    <w:rsid w:val="000F0629"/>
    <w:rsid w:val="000F0B9E"/>
    <w:rsid w:val="000F28A4"/>
    <w:rsid w:val="000F3C74"/>
    <w:rsid w:val="000F67F9"/>
    <w:rsid w:val="00101B1E"/>
    <w:rsid w:val="001039FC"/>
    <w:rsid w:val="00116236"/>
    <w:rsid w:val="0012187A"/>
    <w:rsid w:val="00125703"/>
    <w:rsid w:val="0012613B"/>
    <w:rsid w:val="001372B2"/>
    <w:rsid w:val="00142E20"/>
    <w:rsid w:val="00143077"/>
    <w:rsid w:val="00144E60"/>
    <w:rsid w:val="001562F5"/>
    <w:rsid w:val="00160AFC"/>
    <w:rsid w:val="001629AC"/>
    <w:rsid w:val="001656A0"/>
    <w:rsid w:val="00172E86"/>
    <w:rsid w:val="001768B4"/>
    <w:rsid w:val="001829FC"/>
    <w:rsid w:val="00183EB6"/>
    <w:rsid w:val="00186CAB"/>
    <w:rsid w:val="00186F97"/>
    <w:rsid w:val="001978DF"/>
    <w:rsid w:val="001B20EB"/>
    <w:rsid w:val="001B474C"/>
    <w:rsid w:val="001B68A9"/>
    <w:rsid w:val="001D2DEF"/>
    <w:rsid w:val="001D6295"/>
    <w:rsid w:val="001F1E3A"/>
    <w:rsid w:val="001F1FF8"/>
    <w:rsid w:val="00201208"/>
    <w:rsid w:val="002238AB"/>
    <w:rsid w:val="002307FF"/>
    <w:rsid w:val="00230D35"/>
    <w:rsid w:val="00250196"/>
    <w:rsid w:val="00254D27"/>
    <w:rsid w:val="002571EC"/>
    <w:rsid w:val="00262BC0"/>
    <w:rsid w:val="0026496F"/>
    <w:rsid w:val="00272AC1"/>
    <w:rsid w:val="00277548"/>
    <w:rsid w:val="002875EB"/>
    <w:rsid w:val="00290EFB"/>
    <w:rsid w:val="002A47B3"/>
    <w:rsid w:val="002B061C"/>
    <w:rsid w:val="002B56C9"/>
    <w:rsid w:val="002B5D77"/>
    <w:rsid w:val="002B66F1"/>
    <w:rsid w:val="002C14B4"/>
    <w:rsid w:val="002D0328"/>
    <w:rsid w:val="002D5E61"/>
    <w:rsid w:val="002E14CF"/>
    <w:rsid w:val="002E2E91"/>
    <w:rsid w:val="002F3F53"/>
    <w:rsid w:val="002F4B6D"/>
    <w:rsid w:val="002F615F"/>
    <w:rsid w:val="002F6381"/>
    <w:rsid w:val="002F7D53"/>
    <w:rsid w:val="00305F68"/>
    <w:rsid w:val="00314DAE"/>
    <w:rsid w:val="00320FF2"/>
    <w:rsid w:val="00325645"/>
    <w:rsid w:val="00331C29"/>
    <w:rsid w:val="0033217F"/>
    <w:rsid w:val="00332F1D"/>
    <w:rsid w:val="00343DB8"/>
    <w:rsid w:val="00347205"/>
    <w:rsid w:val="00347BEA"/>
    <w:rsid w:val="00357BBF"/>
    <w:rsid w:val="003621D4"/>
    <w:rsid w:val="00364357"/>
    <w:rsid w:val="003644BA"/>
    <w:rsid w:val="00365177"/>
    <w:rsid w:val="00365F81"/>
    <w:rsid w:val="0037252D"/>
    <w:rsid w:val="003764AF"/>
    <w:rsid w:val="003853CC"/>
    <w:rsid w:val="003A2513"/>
    <w:rsid w:val="003B28DC"/>
    <w:rsid w:val="003C4AE0"/>
    <w:rsid w:val="003C711E"/>
    <w:rsid w:val="003D472C"/>
    <w:rsid w:val="003E2DCC"/>
    <w:rsid w:val="003E6091"/>
    <w:rsid w:val="003F6E9E"/>
    <w:rsid w:val="003F7598"/>
    <w:rsid w:val="003F75E0"/>
    <w:rsid w:val="003F77A3"/>
    <w:rsid w:val="00400928"/>
    <w:rsid w:val="0040197C"/>
    <w:rsid w:val="00415B22"/>
    <w:rsid w:val="00420B78"/>
    <w:rsid w:val="00423E69"/>
    <w:rsid w:val="00427F3C"/>
    <w:rsid w:val="00430304"/>
    <w:rsid w:val="00431605"/>
    <w:rsid w:val="004448D3"/>
    <w:rsid w:val="0045796E"/>
    <w:rsid w:val="0047280F"/>
    <w:rsid w:val="00486394"/>
    <w:rsid w:val="004908D6"/>
    <w:rsid w:val="004A0612"/>
    <w:rsid w:val="004B2473"/>
    <w:rsid w:val="004B7025"/>
    <w:rsid w:val="004C211F"/>
    <w:rsid w:val="004D3097"/>
    <w:rsid w:val="004E030D"/>
    <w:rsid w:val="004E0BA1"/>
    <w:rsid w:val="004E2358"/>
    <w:rsid w:val="004E7011"/>
    <w:rsid w:val="004F4837"/>
    <w:rsid w:val="00501372"/>
    <w:rsid w:val="00505FF4"/>
    <w:rsid w:val="00511082"/>
    <w:rsid w:val="00530CFE"/>
    <w:rsid w:val="00531DDD"/>
    <w:rsid w:val="00537084"/>
    <w:rsid w:val="00540F73"/>
    <w:rsid w:val="00547DF1"/>
    <w:rsid w:val="005504B8"/>
    <w:rsid w:val="00555A58"/>
    <w:rsid w:val="005630B5"/>
    <w:rsid w:val="005643DF"/>
    <w:rsid w:val="0056566E"/>
    <w:rsid w:val="00571B3A"/>
    <w:rsid w:val="00582557"/>
    <w:rsid w:val="0059291E"/>
    <w:rsid w:val="005A2B24"/>
    <w:rsid w:val="005A3D89"/>
    <w:rsid w:val="005A6B93"/>
    <w:rsid w:val="005D128D"/>
    <w:rsid w:val="005E2F4C"/>
    <w:rsid w:val="005E60AF"/>
    <w:rsid w:val="005E7024"/>
    <w:rsid w:val="005F2890"/>
    <w:rsid w:val="00601309"/>
    <w:rsid w:val="0060133A"/>
    <w:rsid w:val="00604941"/>
    <w:rsid w:val="00610C43"/>
    <w:rsid w:val="006129DB"/>
    <w:rsid w:val="00612FE2"/>
    <w:rsid w:val="0062162E"/>
    <w:rsid w:val="00621DBE"/>
    <w:rsid w:val="00626EDE"/>
    <w:rsid w:val="00631AB9"/>
    <w:rsid w:val="00634A32"/>
    <w:rsid w:val="006362B4"/>
    <w:rsid w:val="006460C0"/>
    <w:rsid w:val="006527C7"/>
    <w:rsid w:val="00656972"/>
    <w:rsid w:val="00665750"/>
    <w:rsid w:val="0066646A"/>
    <w:rsid w:val="00673EA2"/>
    <w:rsid w:val="00684EA5"/>
    <w:rsid w:val="0069054A"/>
    <w:rsid w:val="0069134D"/>
    <w:rsid w:val="006969DA"/>
    <w:rsid w:val="006A0513"/>
    <w:rsid w:val="006C42F3"/>
    <w:rsid w:val="006D0CD0"/>
    <w:rsid w:val="006D5B15"/>
    <w:rsid w:val="006E1FBF"/>
    <w:rsid w:val="006E2207"/>
    <w:rsid w:val="006E4E1B"/>
    <w:rsid w:val="006F6BB1"/>
    <w:rsid w:val="006F79C2"/>
    <w:rsid w:val="006F7DB4"/>
    <w:rsid w:val="0070743E"/>
    <w:rsid w:val="00710FC4"/>
    <w:rsid w:val="007209E0"/>
    <w:rsid w:val="00720D56"/>
    <w:rsid w:val="007218D8"/>
    <w:rsid w:val="00724211"/>
    <w:rsid w:val="007264EF"/>
    <w:rsid w:val="00731A13"/>
    <w:rsid w:val="007447A1"/>
    <w:rsid w:val="00744E37"/>
    <w:rsid w:val="00751C4A"/>
    <w:rsid w:val="00753BA3"/>
    <w:rsid w:val="00761E82"/>
    <w:rsid w:val="007638BE"/>
    <w:rsid w:val="007719FC"/>
    <w:rsid w:val="00774380"/>
    <w:rsid w:val="00776874"/>
    <w:rsid w:val="007806E4"/>
    <w:rsid w:val="00782A84"/>
    <w:rsid w:val="00790AA3"/>
    <w:rsid w:val="00790CD5"/>
    <w:rsid w:val="007917B8"/>
    <w:rsid w:val="007A0D4A"/>
    <w:rsid w:val="007B2C82"/>
    <w:rsid w:val="007B3C32"/>
    <w:rsid w:val="007B6FF4"/>
    <w:rsid w:val="007C26DE"/>
    <w:rsid w:val="007C4002"/>
    <w:rsid w:val="007C69EA"/>
    <w:rsid w:val="007D6735"/>
    <w:rsid w:val="007E2F5D"/>
    <w:rsid w:val="007E35AF"/>
    <w:rsid w:val="007E387C"/>
    <w:rsid w:val="007E4694"/>
    <w:rsid w:val="007E7C04"/>
    <w:rsid w:val="007F7CA0"/>
    <w:rsid w:val="008013B1"/>
    <w:rsid w:val="00804D6B"/>
    <w:rsid w:val="008076B0"/>
    <w:rsid w:val="00810F6A"/>
    <w:rsid w:val="0081492D"/>
    <w:rsid w:val="00816429"/>
    <w:rsid w:val="0082196F"/>
    <w:rsid w:val="00823640"/>
    <w:rsid w:val="008301F2"/>
    <w:rsid w:val="00830772"/>
    <w:rsid w:val="00836810"/>
    <w:rsid w:val="00844622"/>
    <w:rsid w:val="00861A52"/>
    <w:rsid w:val="00872DD5"/>
    <w:rsid w:val="00872EF9"/>
    <w:rsid w:val="00875463"/>
    <w:rsid w:val="008812A9"/>
    <w:rsid w:val="008814AE"/>
    <w:rsid w:val="00884F60"/>
    <w:rsid w:val="00895BB9"/>
    <w:rsid w:val="008A4520"/>
    <w:rsid w:val="008A48B9"/>
    <w:rsid w:val="008A78C9"/>
    <w:rsid w:val="008B1C5C"/>
    <w:rsid w:val="008B27F1"/>
    <w:rsid w:val="008B44B6"/>
    <w:rsid w:val="008C4CFE"/>
    <w:rsid w:val="008C55AE"/>
    <w:rsid w:val="008D7B7E"/>
    <w:rsid w:val="008E21B1"/>
    <w:rsid w:val="008F5811"/>
    <w:rsid w:val="009057A0"/>
    <w:rsid w:val="00914A85"/>
    <w:rsid w:val="00916D5C"/>
    <w:rsid w:val="009219F1"/>
    <w:rsid w:val="00922041"/>
    <w:rsid w:val="009253E5"/>
    <w:rsid w:val="009279E1"/>
    <w:rsid w:val="009300BE"/>
    <w:rsid w:val="00932EF5"/>
    <w:rsid w:val="00936EC5"/>
    <w:rsid w:val="009373A4"/>
    <w:rsid w:val="00937EA2"/>
    <w:rsid w:val="009405A2"/>
    <w:rsid w:val="009424CB"/>
    <w:rsid w:val="0094376A"/>
    <w:rsid w:val="009526D9"/>
    <w:rsid w:val="00953005"/>
    <w:rsid w:val="00955DE3"/>
    <w:rsid w:val="0096044C"/>
    <w:rsid w:val="0096086F"/>
    <w:rsid w:val="0096397B"/>
    <w:rsid w:val="00965119"/>
    <w:rsid w:val="00971154"/>
    <w:rsid w:val="00974711"/>
    <w:rsid w:val="00975A2E"/>
    <w:rsid w:val="00975C89"/>
    <w:rsid w:val="00991FD1"/>
    <w:rsid w:val="009A0FEF"/>
    <w:rsid w:val="009A3107"/>
    <w:rsid w:val="009B2F60"/>
    <w:rsid w:val="009C1E86"/>
    <w:rsid w:val="009C2088"/>
    <w:rsid w:val="009C7218"/>
    <w:rsid w:val="009C7642"/>
    <w:rsid w:val="009D4EBE"/>
    <w:rsid w:val="009D54CB"/>
    <w:rsid w:val="009D6431"/>
    <w:rsid w:val="009D6BE3"/>
    <w:rsid w:val="009D7272"/>
    <w:rsid w:val="009E1AE1"/>
    <w:rsid w:val="009E1CC6"/>
    <w:rsid w:val="009F28C4"/>
    <w:rsid w:val="009F7DB5"/>
    <w:rsid w:val="00A1019B"/>
    <w:rsid w:val="00A106D8"/>
    <w:rsid w:val="00A17092"/>
    <w:rsid w:val="00A22D7D"/>
    <w:rsid w:val="00A237E2"/>
    <w:rsid w:val="00A326AC"/>
    <w:rsid w:val="00A40A58"/>
    <w:rsid w:val="00A52559"/>
    <w:rsid w:val="00A55219"/>
    <w:rsid w:val="00A61BD0"/>
    <w:rsid w:val="00A66B65"/>
    <w:rsid w:val="00A8460B"/>
    <w:rsid w:val="00A8707E"/>
    <w:rsid w:val="00A92BDF"/>
    <w:rsid w:val="00A92D9C"/>
    <w:rsid w:val="00A965A4"/>
    <w:rsid w:val="00AA7472"/>
    <w:rsid w:val="00AB296C"/>
    <w:rsid w:val="00AB6A44"/>
    <w:rsid w:val="00AC714A"/>
    <w:rsid w:val="00AD39AD"/>
    <w:rsid w:val="00AD5B22"/>
    <w:rsid w:val="00AE2FE1"/>
    <w:rsid w:val="00AE4A1B"/>
    <w:rsid w:val="00B004F1"/>
    <w:rsid w:val="00B0220B"/>
    <w:rsid w:val="00B23B09"/>
    <w:rsid w:val="00B2636D"/>
    <w:rsid w:val="00B30856"/>
    <w:rsid w:val="00B37633"/>
    <w:rsid w:val="00B50A31"/>
    <w:rsid w:val="00B526A2"/>
    <w:rsid w:val="00B545B1"/>
    <w:rsid w:val="00B65E59"/>
    <w:rsid w:val="00B660D4"/>
    <w:rsid w:val="00B709E9"/>
    <w:rsid w:val="00B77F85"/>
    <w:rsid w:val="00B826A8"/>
    <w:rsid w:val="00B87AD8"/>
    <w:rsid w:val="00B95F38"/>
    <w:rsid w:val="00BA1643"/>
    <w:rsid w:val="00BB636F"/>
    <w:rsid w:val="00BB705C"/>
    <w:rsid w:val="00BC2567"/>
    <w:rsid w:val="00BD2C82"/>
    <w:rsid w:val="00BD5EEA"/>
    <w:rsid w:val="00BE0127"/>
    <w:rsid w:val="00BE14CE"/>
    <w:rsid w:val="00BE3FD6"/>
    <w:rsid w:val="00BF1EFE"/>
    <w:rsid w:val="00C20A58"/>
    <w:rsid w:val="00C24491"/>
    <w:rsid w:val="00C4695C"/>
    <w:rsid w:val="00C52B9E"/>
    <w:rsid w:val="00C561E2"/>
    <w:rsid w:val="00C568FB"/>
    <w:rsid w:val="00C61446"/>
    <w:rsid w:val="00C65BC8"/>
    <w:rsid w:val="00C65E92"/>
    <w:rsid w:val="00C75CB9"/>
    <w:rsid w:val="00C85CBA"/>
    <w:rsid w:val="00C94D81"/>
    <w:rsid w:val="00C95856"/>
    <w:rsid w:val="00C9646C"/>
    <w:rsid w:val="00CA12A5"/>
    <w:rsid w:val="00CD26D1"/>
    <w:rsid w:val="00CE2116"/>
    <w:rsid w:val="00CE55E6"/>
    <w:rsid w:val="00CE6B0D"/>
    <w:rsid w:val="00CF4757"/>
    <w:rsid w:val="00D03BDA"/>
    <w:rsid w:val="00D06D13"/>
    <w:rsid w:val="00D104C4"/>
    <w:rsid w:val="00D2481F"/>
    <w:rsid w:val="00D27FE5"/>
    <w:rsid w:val="00D35446"/>
    <w:rsid w:val="00D36416"/>
    <w:rsid w:val="00D4286C"/>
    <w:rsid w:val="00D461C0"/>
    <w:rsid w:val="00D475F4"/>
    <w:rsid w:val="00D50486"/>
    <w:rsid w:val="00D5083C"/>
    <w:rsid w:val="00D51E09"/>
    <w:rsid w:val="00D51EB1"/>
    <w:rsid w:val="00D52B8A"/>
    <w:rsid w:val="00D55A95"/>
    <w:rsid w:val="00D602CF"/>
    <w:rsid w:val="00D63A83"/>
    <w:rsid w:val="00D63FA6"/>
    <w:rsid w:val="00D7064B"/>
    <w:rsid w:val="00D75322"/>
    <w:rsid w:val="00D75B5B"/>
    <w:rsid w:val="00D84E9C"/>
    <w:rsid w:val="00D97688"/>
    <w:rsid w:val="00DA651E"/>
    <w:rsid w:val="00DB0A99"/>
    <w:rsid w:val="00DB3FE2"/>
    <w:rsid w:val="00DC06A0"/>
    <w:rsid w:val="00DC1B22"/>
    <w:rsid w:val="00DC45F7"/>
    <w:rsid w:val="00DC5331"/>
    <w:rsid w:val="00DC5742"/>
    <w:rsid w:val="00DC77E9"/>
    <w:rsid w:val="00DD1818"/>
    <w:rsid w:val="00DD28EE"/>
    <w:rsid w:val="00DD4027"/>
    <w:rsid w:val="00DD5472"/>
    <w:rsid w:val="00DE16A0"/>
    <w:rsid w:val="00E035CB"/>
    <w:rsid w:val="00E044D2"/>
    <w:rsid w:val="00E04AD3"/>
    <w:rsid w:val="00E15630"/>
    <w:rsid w:val="00E1575F"/>
    <w:rsid w:val="00E206F1"/>
    <w:rsid w:val="00E21A1F"/>
    <w:rsid w:val="00E31570"/>
    <w:rsid w:val="00E32FA6"/>
    <w:rsid w:val="00E3661B"/>
    <w:rsid w:val="00E46A7C"/>
    <w:rsid w:val="00E473A6"/>
    <w:rsid w:val="00E5745E"/>
    <w:rsid w:val="00E635EE"/>
    <w:rsid w:val="00E76D4E"/>
    <w:rsid w:val="00E77D19"/>
    <w:rsid w:val="00E82CB1"/>
    <w:rsid w:val="00E85E2D"/>
    <w:rsid w:val="00E867E4"/>
    <w:rsid w:val="00E87BFD"/>
    <w:rsid w:val="00E96041"/>
    <w:rsid w:val="00E96B90"/>
    <w:rsid w:val="00EA10E0"/>
    <w:rsid w:val="00EA1E5E"/>
    <w:rsid w:val="00EA2CDC"/>
    <w:rsid w:val="00EA75D8"/>
    <w:rsid w:val="00EB4173"/>
    <w:rsid w:val="00EB7D17"/>
    <w:rsid w:val="00ED08D4"/>
    <w:rsid w:val="00EE1E91"/>
    <w:rsid w:val="00EE2889"/>
    <w:rsid w:val="00EE366A"/>
    <w:rsid w:val="00F037BC"/>
    <w:rsid w:val="00F07778"/>
    <w:rsid w:val="00F13193"/>
    <w:rsid w:val="00F170AA"/>
    <w:rsid w:val="00F22C06"/>
    <w:rsid w:val="00F259D3"/>
    <w:rsid w:val="00F31248"/>
    <w:rsid w:val="00F32ECA"/>
    <w:rsid w:val="00F3524A"/>
    <w:rsid w:val="00F41AB5"/>
    <w:rsid w:val="00F42CF2"/>
    <w:rsid w:val="00F432FA"/>
    <w:rsid w:val="00F45E3D"/>
    <w:rsid w:val="00F47DC8"/>
    <w:rsid w:val="00F5134A"/>
    <w:rsid w:val="00F51DAE"/>
    <w:rsid w:val="00F575CB"/>
    <w:rsid w:val="00F6228E"/>
    <w:rsid w:val="00F63CF0"/>
    <w:rsid w:val="00F67857"/>
    <w:rsid w:val="00F72232"/>
    <w:rsid w:val="00F73B51"/>
    <w:rsid w:val="00F73F43"/>
    <w:rsid w:val="00F87D11"/>
    <w:rsid w:val="00FA3742"/>
    <w:rsid w:val="00FA439C"/>
    <w:rsid w:val="00FB2A8F"/>
    <w:rsid w:val="00FC2E56"/>
    <w:rsid w:val="00FC7C96"/>
    <w:rsid w:val="00FE6FA9"/>
    <w:rsid w:val="00FF2AF3"/>
    <w:rsid w:val="00FF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20B"/>
    <w:pPr>
      <w:widowControl w:val="0"/>
      <w:spacing w:after="200" w:line="276" w:lineRule="auto"/>
    </w:pPr>
    <w:rPr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343DB8"/>
    <w:pPr>
      <w:keepNext/>
      <w:keepLines/>
      <w:widowControl/>
      <w:spacing w:before="200" w:after="120" w:line="240" w:lineRule="auto"/>
      <w:outlineLvl w:val="2"/>
    </w:pPr>
    <w:rPr>
      <w:rFonts w:ascii="Arial" w:eastAsia="Times New Roman" w:hAnsi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448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4448D3"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4448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448D3"/>
    <w:rPr>
      <w:rFonts w:cs="Times New Roman"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rsid w:val="002B56C9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96044C"/>
    <w:rPr>
      <w:rFonts w:cs="Times New Roman"/>
      <w:lang w:val="en-US" w:eastAsia="en-US"/>
    </w:rPr>
  </w:style>
  <w:style w:type="character" w:styleId="Hyperlink">
    <w:name w:val="Hyperlink"/>
    <w:basedOn w:val="DefaultParagraphFont"/>
    <w:uiPriority w:val="99"/>
    <w:rsid w:val="002B56C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86F9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9"/>
    <w:rsid w:val="00343DB8"/>
    <w:rPr>
      <w:rFonts w:ascii="Arial" w:eastAsia="Times New Roman" w:hAnsi="Arial"/>
      <w:b/>
      <w:bCs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5745E"/>
    <w:pPr>
      <w:ind w:left="720"/>
      <w:contextualSpacing/>
    </w:pPr>
  </w:style>
  <w:style w:type="table" w:styleId="TableGrid">
    <w:name w:val="Table Grid"/>
    <w:basedOn w:val="TableNormal"/>
    <w:locked/>
    <w:rsid w:val="00DD2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locked/>
    <w:rsid w:val="003F7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Normal"/>
    <w:rsid w:val="00DC1B22"/>
    <w:pPr>
      <w:numPr>
        <w:numId w:val="8"/>
      </w:numPr>
      <w:spacing w:before="60" w:after="120" w:line="240" w:lineRule="auto"/>
    </w:pPr>
    <w:rPr>
      <w:rFonts w:ascii="Arial" w:eastAsia="Times New Roman" w:hAnsi="Arial"/>
      <w:sz w:val="20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750"/>
    <w:rPr>
      <w:rFonts w:ascii="Tahoma" w:hAnsi="Tahoma" w:cs="Tahoma"/>
      <w:sz w:val="16"/>
      <w:szCs w:val="16"/>
      <w:lang w:val="en-US" w:eastAsia="en-US"/>
    </w:rPr>
  </w:style>
  <w:style w:type="paragraph" w:customStyle="1" w:styleId="Bulletlevel1">
    <w:name w:val="Bullet level 1"/>
    <w:basedOn w:val="Normal"/>
    <w:link w:val="Bulletlevel1CharChar"/>
    <w:qFormat/>
    <w:rsid w:val="00F47DC8"/>
    <w:pPr>
      <w:widowControl/>
      <w:numPr>
        <w:numId w:val="19"/>
      </w:numPr>
      <w:spacing w:after="120" w:line="288" w:lineRule="auto"/>
    </w:pPr>
    <w:rPr>
      <w:rFonts w:ascii="Arial" w:eastAsia="MS Mincho" w:hAnsi="Arial"/>
      <w:sz w:val="20"/>
      <w:szCs w:val="20"/>
      <w:lang w:val="en-AU" w:eastAsia="ja-JP"/>
    </w:rPr>
  </w:style>
  <w:style w:type="character" w:customStyle="1" w:styleId="Bulletlevel1CharChar">
    <w:name w:val="Bullet level 1 Char Char"/>
    <w:basedOn w:val="DefaultParagraphFont"/>
    <w:link w:val="Bulletlevel1"/>
    <w:rsid w:val="00F47DC8"/>
    <w:rPr>
      <w:rFonts w:ascii="Arial" w:eastAsia="MS Mincho" w:hAnsi="Arial"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20B"/>
    <w:pPr>
      <w:widowControl w:val="0"/>
      <w:spacing w:after="200" w:line="276" w:lineRule="auto"/>
    </w:pPr>
    <w:rPr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343DB8"/>
    <w:pPr>
      <w:keepNext/>
      <w:keepLines/>
      <w:widowControl/>
      <w:spacing w:before="200" w:after="120" w:line="240" w:lineRule="auto"/>
      <w:outlineLvl w:val="2"/>
    </w:pPr>
    <w:rPr>
      <w:rFonts w:ascii="Arial" w:eastAsia="Times New Roman" w:hAnsi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448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4448D3"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4448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448D3"/>
    <w:rPr>
      <w:rFonts w:cs="Times New Roman"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rsid w:val="002B56C9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96044C"/>
    <w:rPr>
      <w:rFonts w:cs="Times New Roman"/>
      <w:lang w:val="en-US" w:eastAsia="en-US"/>
    </w:rPr>
  </w:style>
  <w:style w:type="character" w:styleId="Hyperlink">
    <w:name w:val="Hyperlink"/>
    <w:basedOn w:val="DefaultParagraphFont"/>
    <w:uiPriority w:val="99"/>
    <w:rsid w:val="002B56C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86F9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9"/>
    <w:rsid w:val="00343DB8"/>
    <w:rPr>
      <w:rFonts w:ascii="Arial" w:eastAsia="Times New Roman" w:hAnsi="Arial"/>
      <w:b/>
      <w:bCs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5745E"/>
    <w:pPr>
      <w:ind w:left="720"/>
      <w:contextualSpacing/>
    </w:pPr>
  </w:style>
  <w:style w:type="table" w:styleId="TableGrid">
    <w:name w:val="Table Grid"/>
    <w:basedOn w:val="TableNormal"/>
    <w:locked/>
    <w:rsid w:val="00DD2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locked/>
    <w:rsid w:val="003F7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Normal"/>
    <w:rsid w:val="00DC1B22"/>
    <w:pPr>
      <w:numPr>
        <w:numId w:val="8"/>
      </w:numPr>
      <w:spacing w:before="60" w:after="120" w:line="240" w:lineRule="auto"/>
    </w:pPr>
    <w:rPr>
      <w:rFonts w:ascii="Arial" w:eastAsia="Times New Roman" w:hAnsi="Arial"/>
      <w:sz w:val="20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750"/>
    <w:rPr>
      <w:rFonts w:ascii="Tahoma" w:hAnsi="Tahoma" w:cs="Tahoma"/>
      <w:sz w:val="16"/>
      <w:szCs w:val="16"/>
      <w:lang w:val="en-US" w:eastAsia="en-US"/>
    </w:rPr>
  </w:style>
  <w:style w:type="paragraph" w:customStyle="1" w:styleId="Bulletlevel1">
    <w:name w:val="Bullet level 1"/>
    <w:basedOn w:val="Normal"/>
    <w:link w:val="Bulletlevel1CharChar"/>
    <w:qFormat/>
    <w:rsid w:val="00F47DC8"/>
    <w:pPr>
      <w:widowControl/>
      <w:numPr>
        <w:numId w:val="19"/>
      </w:numPr>
      <w:spacing w:after="120" w:line="288" w:lineRule="auto"/>
    </w:pPr>
    <w:rPr>
      <w:rFonts w:ascii="Arial" w:eastAsia="MS Mincho" w:hAnsi="Arial"/>
      <w:sz w:val="20"/>
      <w:szCs w:val="20"/>
      <w:lang w:val="en-AU" w:eastAsia="ja-JP"/>
    </w:rPr>
  </w:style>
  <w:style w:type="character" w:customStyle="1" w:styleId="Bulletlevel1CharChar">
    <w:name w:val="Bullet level 1 Char Char"/>
    <w:basedOn w:val="DefaultParagraphFont"/>
    <w:link w:val="Bulletlevel1"/>
    <w:rsid w:val="00F47DC8"/>
    <w:rPr>
      <w:rFonts w:ascii="Arial" w:eastAsia="MS Mincho" w:hAnsi="Arial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99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053f7b275f4c72526443b7274955c6c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f6032d4ac0c3c7e58389b6361bb526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EF8DED9-F19C-41EB-93C3-40983C236393}"/>
</file>

<file path=customXml/itemProps2.xml><?xml version="1.0" encoding="utf-8"?>
<ds:datastoreItem xmlns:ds="http://schemas.openxmlformats.org/officeDocument/2006/customXml" ds:itemID="{84677654-F01F-4288-A1FB-AA456F769657}"/>
</file>

<file path=customXml/itemProps3.xml><?xml version="1.0" encoding="utf-8"?>
<ds:datastoreItem xmlns:ds="http://schemas.openxmlformats.org/officeDocument/2006/customXml" ds:itemID="{5C270E71-9894-472A-8CDB-C2BD20CBF94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Station and footbridge closure</vt:lpstr>
    </vt:vector>
  </TitlesOfParts>
  <Company>Queensland Rail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Station and footbridge closure</dc:title>
  <dc:creator>r203279</dc:creator>
  <cp:lastModifiedBy>James, Lyndon</cp:lastModifiedBy>
  <cp:revision>2</cp:revision>
  <cp:lastPrinted>2016-09-23T06:55:00Z</cp:lastPrinted>
  <dcterms:created xsi:type="dcterms:W3CDTF">2017-02-10T00:31:00Z</dcterms:created>
  <dcterms:modified xsi:type="dcterms:W3CDTF">2017-02-10T00:31:00Z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0x010100A2ED94B99AC6E543AC366244A9AF2AE0</vt:lpwstr>
  </property>
</Properties>
</file>