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893F51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>Weekend road closure</w:t>
      </w:r>
      <w:r w:rsidR="00896CB9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 </w:t>
      </w:r>
      <w:r w:rsidR="009E7442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– </w:t>
      </w:r>
      <w:r w:rsidR="001D56D8">
        <w:rPr>
          <w:rFonts w:ascii="Arial" w:hAnsi="Arial" w:cs="Arial"/>
          <w:spacing w:val="-21"/>
          <w:sz w:val="44"/>
          <w:szCs w:val="44"/>
          <w:lang w:val="en-AU"/>
        </w:rPr>
        <w:t>Helensvale</w:t>
      </w:r>
      <w:r w:rsidR="00F17228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 Road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1D56D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December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7D0930" w:rsidRDefault="00DC1B22" w:rsidP="007D093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7D0930" w:rsidRDefault="007D0930" w:rsidP="007D093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7D0930" w:rsidRDefault="007D0930" w:rsidP="007D093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b/>
        </w:rPr>
      </w:pPr>
      <w:r w:rsidRPr="00330CB4">
        <w:rPr>
          <w:b/>
        </w:rPr>
        <w:t>On Saturday 17 and Sunday 18 December</w:t>
      </w:r>
      <w:r>
        <w:rPr>
          <w:b/>
        </w:rPr>
        <w:t xml:space="preserve"> 2016</w:t>
      </w:r>
      <w:r w:rsidRPr="00330CB4">
        <w:rPr>
          <w:b/>
        </w:rPr>
        <w:t xml:space="preserve">, </w:t>
      </w:r>
      <w:r>
        <w:rPr>
          <w:b/>
        </w:rPr>
        <w:t xml:space="preserve">works will be undertaken to install structures on the new rail bridge over </w:t>
      </w:r>
      <w:r w:rsidRPr="00330CB4">
        <w:rPr>
          <w:b/>
        </w:rPr>
        <w:t>Helensvale Road</w:t>
      </w:r>
      <w:r>
        <w:rPr>
          <w:b/>
        </w:rPr>
        <w:t xml:space="preserve">, Helensvale. </w:t>
      </w:r>
    </w:p>
    <w:p w:rsidR="007D0930" w:rsidRDefault="007D0930" w:rsidP="007D093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b/>
        </w:rPr>
      </w:pPr>
    </w:p>
    <w:p w:rsidR="00D815ED" w:rsidRDefault="007D0930" w:rsidP="00D815E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b/>
        </w:rPr>
      </w:pPr>
      <w:r>
        <w:rPr>
          <w:b/>
        </w:rPr>
        <w:t xml:space="preserve">This work requires a full closure of Helensvale Road </w:t>
      </w:r>
      <w:r w:rsidR="00540F79">
        <w:rPr>
          <w:b/>
        </w:rPr>
        <w:t>between Warrego Way and Monterey Keys Drive</w:t>
      </w:r>
      <w:r>
        <w:rPr>
          <w:b/>
        </w:rPr>
        <w:t xml:space="preserve">, </w:t>
      </w:r>
      <w:r w:rsidR="00540F79">
        <w:rPr>
          <w:b/>
        </w:rPr>
        <w:t xml:space="preserve">from </w:t>
      </w:r>
      <w:r>
        <w:rPr>
          <w:b/>
        </w:rPr>
        <w:t xml:space="preserve">7am </w:t>
      </w:r>
      <w:r w:rsidR="00540F79">
        <w:rPr>
          <w:b/>
        </w:rPr>
        <w:t xml:space="preserve">until </w:t>
      </w:r>
      <w:r>
        <w:rPr>
          <w:b/>
        </w:rPr>
        <w:t xml:space="preserve">6pm on both days, weather permitting. </w:t>
      </w:r>
    </w:p>
    <w:p w:rsidR="00D815ED" w:rsidRDefault="00D815ED" w:rsidP="00D815E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b/>
        </w:rPr>
      </w:pPr>
    </w:p>
    <w:p w:rsidR="00D815ED" w:rsidRPr="00D815ED" w:rsidRDefault="00D815ED" w:rsidP="00D815E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t>During the road closure, motorists are advised to use the detours provided via Monterey Keys Drive, Hope Island Road and Siganto Drive.</w:t>
      </w:r>
    </w:p>
    <w:p w:rsidR="00DC6DD3" w:rsidRDefault="00DC6DD3" w:rsidP="00D815E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4252"/>
        <w:gridCol w:w="4253"/>
      </w:tblGrid>
      <w:tr w:rsidR="00427F3C" w:rsidRPr="00B2636D" w:rsidTr="00557DE8">
        <w:trPr>
          <w:trHeight w:val="288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Dates and hours of 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night </w:t>
            </w: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7A508A" w:rsidRPr="00B2636D" w:rsidTr="00F213C4">
        <w:trPr>
          <w:trHeight w:val="1229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893F51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Helensvale Road 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>near rail bridge</w:t>
            </w:r>
          </w:p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7A508A" w:rsidRPr="001579F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0296A" w:rsidRPr="0060296A" w:rsidRDefault="00893F51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Satu</w:t>
            </w:r>
            <w:r w:rsidR="007A508A" w:rsidRPr="007A508A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day 17 December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7am</w:t>
            </w:r>
            <w:r w:rsidR="00276CE1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6pm</w:t>
            </w:r>
          </w:p>
          <w:p w:rsidR="00893F51" w:rsidRPr="001909CA" w:rsidRDefault="007D0930" w:rsidP="00893F51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Sunday 18 December</w:t>
            </w:r>
            <w:r w:rsidR="00893F51">
              <w:rPr>
                <w:rFonts w:ascii="Arial" w:hAnsi="Arial" w:cs="Arial"/>
                <w:sz w:val="20"/>
                <w:szCs w:val="20"/>
                <w:lang w:val="en-AU"/>
              </w:rPr>
              <w:t>, 7am</w:t>
            </w:r>
            <w:r w:rsidR="00276CE1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="00893F51">
              <w:rPr>
                <w:rFonts w:ascii="Arial" w:hAnsi="Arial" w:cs="Arial"/>
                <w:sz w:val="20"/>
                <w:szCs w:val="20"/>
                <w:lang w:val="en-AU"/>
              </w:rPr>
              <w:t>6pm</w:t>
            </w:r>
          </w:p>
          <w:p w:rsidR="007A508A" w:rsidRPr="001909CA" w:rsidRDefault="007A508A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15ED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Full road closure on </w:t>
            </w:r>
            <w:r w:rsidR="00893F51">
              <w:rPr>
                <w:rFonts w:ascii="Arial" w:hAnsi="Arial" w:cs="Arial"/>
                <w:sz w:val="20"/>
                <w:szCs w:val="20"/>
                <w:lang w:val="en-AU"/>
              </w:rPr>
              <w:t xml:space="preserve">Helensvale Road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near rail bridge. Detours provided via </w:t>
            </w:r>
            <w:r w:rsidR="00D815ED" w:rsidRPr="00D815ED">
              <w:rPr>
                <w:rFonts w:ascii="Arial" w:hAnsi="Arial" w:cs="Arial"/>
                <w:sz w:val="20"/>
                <w:szCs w:val="20"/>
                <w:lang w:val="en-AU"/>
              </w:rPr>
              <w:t>Monterey Keys Drive, Hope Island Road and Siganto Drive</w:t>
            </w:r>
            <w:r w:rsidR="00D815ED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Lifting and installing bridge structures on the new </w:t>
            </w:r>
            <w:r w:rsidR="00893F51">
              <w:rPr>
                <w:rFonts w:ascii="Arial" w:hAnsi="Arial" w:cs="Arial"/>
                <w:sz w:val="20"/>
                <w:szCs w:val="20"/>
                <w:lang w:val="en-AU"/>
              </w:rPr>
              <w:t xml:space="preserve">Helensvale Road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rail bridge</w:t>
            </w:r>
            <w:r w:rsidR="00D815ED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="007A508A" w:rsidRPr="00893F51" w:rsidRDefault="007A508A" w:rsidP="00893F5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large equipment, machinery (including cranes) and vehicles</w:t>
            </w:r>
            <w:r w:rsidR="00D815ED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909CA" w:rsidRDefault="001909CA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Residents and businesses located near this area may experience noise and lighting associated with the construction activities, as well as minor traffic delays during road closures. </w:t>
            </w:r>
          </w:p>
          <w:p w:rsidR="001909CA" w:rsidRDefault="001909CA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7F4F47" w:rsidRDefault="007F4F47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For the safety of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 xml:space="preserve">motorists,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workers and the community,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>t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raffic control </w:t>
            </w:r>
            <w:r w:rsidR="001909CA">
              <w:rPr>
                <w:rFonts w:eastAsia="Calibri" w:cs="Arial"/>
                <w:szCs w:val="20"/>
                <w:lang w:val="en-AU" w:eastAsia="en-US"/>
              </w:rPr>
              <w:t>will be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 in place to direct road users and pedestrians via the alternative route.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Access to local properties will be maintained at all times. 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bookmarkStart w:id="0" w:name="_GoBack"/>
      <w:bookmarkEnd w:id="0"/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E" w:rsidRDefault="007F14DE" w:rsidP="004448D3">
      <w:pPr>
        <w:spacing w:after="0" w:line="240" w:lineRule="auto"/>
      </w:pPr>
      <w:r>
        <w:separator/>
      </w:r>
    </w:p>
  </w:endnote>
  <w:endnote w:type="continuationSeparator" w:id="0">
    <w:p w:rsidR="007F14DE" w:rsidRDefault="007F14D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E" w:rsidRDefault="007F14DE" w:rsidP="004448D3">
      <w:pPr>
        <w:spacing w:after="0" w:line="240" w:lineRule="auto"/>
      </w:pPr>
      <w:r>
        <w:separator/>
      </w:r>
    </w:p>
  </w:footnote>
  <w:footnote w:type="continuationSeparator" w:id="0">
    <w:p w:rsidR="007F14DE" w:rsidRDefault="007F14D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F" w:rsidRDefault="003B508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1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0"/>
  </w:num>
  <w:num w:numId="20">
    <w:abstractNumId w:val="4"/>
  </w:num>
  <w:num w:numId="21">
    <w:abstractNumId w:val="4"/>
  </w:num>
  <w:num w:numId="22">
    <w:abstractNumId w:val="9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56D8"/>
    <w:rsid w:val="001D6295"/>
    <w:rsid w:val="001F1E3A"/>
    <w:rsid w:val="001F1FF8"/>
    <w:rsid w:val="00201208"/>
    <w:rsid w:val="002238AB"/>
    <w:rsid w:val="002307FF"/>
    <w:rsid w:val="00230D35"/>
    <w:rsid w:val="00237EBD"/>
    <w:rsid w:val="00250196"/>
    <w:rsid w:val="00254D27"/>
    <w:rsid w:val="00262BC0"/>
    <w:rsid w:val="00272AC1"/>
    <w:rsid w:val="00276CE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5B96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64E27"/>
    <w:rsid w:val="0047280F"/>
    <w:rsid w:val="004908D6"/>
    <w:rsid w:val="004A0612"/>
    <w:rsid w:val="004B7025"/>
    <w:rsid w:val="004C052B"/>
    <w:rsid w:val="004C211F"/>
    <w:rsid w:val="004D3097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0F79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7F22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A0D4A"/>
    <w:rsid w:val="007A508A"/>
    <w:rsid w:val="007B2C82"/>
    <w:rsid w:val="007B3C32"/>
    <w:rsid w:val="007B6FF4"/>
    <w:rsid w:val="007C4002"/>
    <w:rsid w:val="007C69EA"/>
    <w:rsid w:val="007D0930"/>
    <w:rsid w:val="007D3A5B"/>
    <w:rsid w:val="007D6735"/>
    <w:rsid w:val="007E2F5D"/>
    <w:rsid w:val="007E387C"/>
    <w:rsid w:val="007E4694"/>
    <w:rsid w:val="007E7C04"/>
    <w:rsid w:val="007F14DE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51125"/>
    <w:rsid w:val="00861A52"/>
    <w:rsid w:val="008661F5"/>
    <w:rsid w:val="00872DD5"/>
    <w:rsid w:val="00875463"/>
    <w:rsid w:val="008812A9"/>
    <w:rsid w:val="00884F60"/>
    <w:rsid w:val="00893F51"/>
    <w:rsid w:val="00895BB9"/>
    <w:rsid w:val="00896C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5ED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17228"/>
    <w:rsid w:val="00F213C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7D11"/>
    <w:rsid w:val="00F9727C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D140D-A29D-492C-9E3B-0B85AB66EA64}"/>
</file>

<file path=customXml/itemProps2.xml><?xml version="1.0" encoding="utf-8"?>
<ds:datastoreItem xmlns:ds="http://schemas.openxmlformats.org/officeDocument/2006/customXml" ds:itemID="{815A2C2B-1EA2-4427-9B3F-7AA19F0D9837}"/>
</file>

<file path=customXml/itemProps3.xml><?xml version="1.0" encoding="utf-8"?>
<ds:datastoreItem xmlns:ds="http://schemas.openxmlformats.org/officeDocument/2006/customXml" ds:itemID="{686D0922-0E76-4421-B175-36F4F9A57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2016-12-01T22:40:00Z</cp:lastPrinted>
  <dcterms:created xsi:type="dcterms:W3CDTF">2016-12-01T22:39:00Z</dcterms:created>
  <dcterms:modified xsi:type="dcterms:W3CDTF">2016-12-01T22:41:00Z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