
<file path=[Content_Types].xml><?xml version="1.0" encoding="utf-8"?>
<Types xmlns="http://schemas.openxmlformats.org/package/2006/content-types">
  <Default Extension="png" ContentType="image/png"/>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rPr>
          <w:rFonts w:ascii="Times New Roman"/>
          <w:sz w:val="9"/>
        </w:rPr>
      </w:pPr>
      <w:r>
        <w:rPr/>
        <w:pict>
          <v:group style="position:absolute;margin-left:0pt;margin-top:261.048859pt;width:595.3pt;height:532.6pt;mso-position-horizontal-relative:page;mso-position-vertical-relative:page;z-index:-15929856" coordorigin="0,5221" coordsize="11906,10652">
            <v:line style="position:absolute" from="709,15848" to="11197,15867" stroked="true" strokeweight=".5pt" strokecolor="#231f20">
              <v:stroke dashstyle="solid"/>
            </v:line>
            <v:shape style="position:absolute;left:0;top:5220;width:11906;height:10634" type="#_x0000_t75" stroked="false">
              <v:imagedata r:id="rId5" o:title=""/>
            </v:shape>
            <v:shape style="position:absolute;left:11183;top:5221;width:536;height:662" coordorigin="11183,5221" coordsize="536,662" path="m11719,5221l11621,5221,11183,5883,11281,5883,11719,5221xe" filled="true" fillcolor="#f15a22" stroked="false">
              <v:path arrowok="t"/>
              <v:fill type="solid"/>
            </v:shape>
            <v:shape style="position:absolute;left:10611;top:5221;width:499;height:662" coordorigin="10612,5221" coordsize="499,662" path="m11110,5221l11049,5221,10612,5883,10672,5883,11110,5221xe" filled="true" fillcolor="#ec008c" stroked="false">
              <v:path arrowok="t"/>
              <v:fill type="solid"/>
            </v:shape>
            <v:shape style="position:absolute;left:9494;top:5221;width:757;height:662" coordorigin="9495,5221" coordsize="757,662" path="m10251,5221l9933,5221,9495,5883,9813,5883,10251,5221xe" filled="true" fillcolor="#f3715a" stroked="false">
              <v:path arrowok="t"/>
              <v:fill type="solid"/>
            </v:shape>
            <v:shape style="position:absolute;left:9285;top:5221;width:535;height:662" coordorigin="9285,5221" coordsize="535,662" path="m9819,5221l9723,5221,9285,5883,9382,5883,9819,5221xe" filled="true" fillcolor="#ed1c24" stroked="false">
              <v:path arrowok="t"/>
              <v:fill type="solid"/>
            </v:shape>
            <v:shape style="position:absolute;left:8248;top:5221;width:912;height:662" coordorigin="8249,5221" coordsize="912,662" path="m9160,5221l8687,5221,8249,5883,8723,5883,9160,5221xe" filled="true" fillcolor="#f37021" stroked="false">
              <v:path arrowok="t"/>
              <v:fill type="solid"/>
            </v:shape>
            <v:shape style="position:absolute;left:7324;top:5221;width:670;height:662" coordorigin="7324,5221" coordsize="670,662" path="m7994,5221l7762,5221,7324,5883,7556,5883,7994,5221xe" filled="true" fillcolor="#c4151c" stroked="false">
              <v:path arrowok="t"/>
              <v:fill type="solid"/>
            </v:shape>
            <v:shape style="position:absolute;left:6940;top:5221;width:689;height:662" coordorigin="6940,5221" coordsize="689,662" path="m7629,5221l7378,5221,6940,5883,7191,5883,7629,5221xe" filled="true" fillcolor="#e11a22" stroked="false">
              <v:path arrowok="t"/>
              <v:fill type="solid"/>
            </v:shape>
            <v:shape style="position:absolute;left:5948;top:5221;width:1430;height:662" coordorigin="5948,5221" coordsize="1430,662" path="m6582,5221l6386,5221,5948,5883,6144,5883,6582,5221xm7378,5221l6682,5221,6244,5883,6940,5883,7378,5221xe" filled="true" fillcolor="#c4151c" stroked="false">
              <v:path arrowok="t"/>
              <v:fill type="solid"/>
            </v:shape>
            <v:shape style="position:absolute;left:5426;top:5221;width:960;height:662" coordorigin="5427,5221" coordsize="960,662" path="m6386,5221l5865,5221,5427,5883,5948,5883,6386,5221xe" filled="true" fillcolor="#ed1c24" stroked="false">
              <v:path arrowok="t"/>
              <v:fill type="solid"/>
            </v:shape>
            <v:shape style="position:absolute;left:4824;top:5221;width:1040;height:662" coordorigin="4825,5221" coordsize="1040,662" path="m5865,5221l5263,5221,4825,5883,5427,5883,5865,5221xe" filled="true" fillcolor="#ed1651" stroked="false">
              <v:path arrowok="t"/>
              <v:fill type="solid"/>
            </v:shape>
            <v:shape style="position:absolute;left:4504;top:5221;width:759;height:662" coordorigin="4504,5221" coordsize="759,662" path="m5263,5221l4942,5221,4504,5883,4825,5883,5263,5221xe" filled="true" fillcolor="#f15a22" stroked="false">
              <v:path arrowok="t"/>
              <v:fill type="solid"/>
            </v:shape>
            <v:shape style="position:absolute;left:3813;top:5221;width:1129;height:662" coordorigin="3813,5221" coordsize="1129,662" path="m4942,5221l4251,5221,3813,5883,4504,5883,4942,5221xe" filled="true" fillcolor="#ed1c24" stroked="false">
              <v:path arrowok="t"/>
              <v:fill type="solid"/>
            </v:shape>
            <v:shape style="position:absolute;left:3529;top:5221;width:722;height:662" coordorigin="3529,5221" coordsize="722,662" path="m4251,5221l3967,5221,3529,5883,3813,5883,4251,5221xe" filled="true" fillcolor="#ef4023" stroked="false">
              <v:path arrowok="t"/>
              <v:fill type="solid"/>
            </v:shape>
            <v:shape style="position:absolute;left:3279;top:5221;width:688;height:662" coordorigin="3279,5221" coordsize="688,662" path="m3967,5221l3717,5221,3279,5883,3529,5883,3967,5221xe" filled="true" fillcolor="#e23d21" stroked="false">
              <v:path arrowok="t"/>
              <v:fill type="solid"/>
            </v:shape>
            <v:shape style="position:absolute;left:2371;top:5221;width:1346;height:662" coordorigin="2371,5221" coordsize="1346,662" path="m3717,5221l2809,5221,2371,5883,3279,5883,3717,5221xe" filled="true" fillcolor="#ef4023" stroked="false">
              <v:path arrowok="t"/>
              <v:fill type="solid"/>
            </v:shape>
            <v:shape style="position:absolute;left:769;top:5221;width:2040;height:662" coordorigin="770,5221" coordsize="2040,662" path="m2809,5221l1208,5221,770,5883,2371,5883,2809,5221xe" filled="true" fillcolor="#c9252b" stroked="false">
              <v:path arrowok="t"/>
              <v:fill type="solid"/>
            </v:shape>
            <v:shape style="position:absolute;left:0;top:5221;width:1208;height:662" coordorigin="0,5221" coordsize="1208,662" path="m1208,5221l0,5221,0,5883,770,5883,1208,5221xe" filled="true" fillcolor="#d82231" stroked="false">
              <v:path arrowok="t"/>
              <v:fill type="solid"/>
            </v:shape>
            <v:shape style="position:absolute;left:7908;top:5221;width:3998;height:662" coordorigin="7908,5221" coordsize="3998,662" path="m11906,5221l8417,5221,8384,5226,8354,5238,8328,5256,8307,5281,7908,5883,11906,5883,11906,5221xe" filled="true" fillcolor="#d92231" stroked="false">
              <v:path arrowok="t"/>
              <v:fill type="solid"/>
            </v:shape>
            <v:shape style="position:absolute;left:8307;top:5353;width:683;height:397" coordorigin="8308,5354" coordsize="683,397" path="m8904,5354l8543,5354,8521,5356,8471,5392,8322,5618,8308,5665,8314,5698,8333,5726,8360,5744,8393,5751,8755,5751,8813,5728,8976,5487,8990,5439,8983,5406,8965,5379,8938,5360,8904,5354xe" filled="true" fillcolor="#ffffff" stroked="false">
              <v:path arrowok="t"/>
              <v:fill type="solid"/>
            </v:shape>
            <v:shape style="position:absolute;left:8369;top:5417;width:558;height:273" coordorigin="8370,5417" coordsize="558,273" path="m8912,5417l8538,5417,8527,5423,8370,5660,8370,5668,8378,5683,8385,5687,8393,5687,8690,5687,8697,5683,8705,5671,8706,5663,8635,5491,8622,5485,8599,5495,8594,5508,8650,5643,8435,5643,8555,5462,8863,5462,8811,5540,8722,5540,8716,5544,8707,5556,8707,5564,8756,5685,8769,5690,8792,5681,8797,5668,8763,5584,8830,5584,8837,5581,8927,5445,8928,5436,8920,5422,8912,5417xe" filled="true" fillcolor="#d92231" stroked="false">
              <v:path arrowok="t"/>
              <v:fill type="solid"/>
            </v:shape>
            <v:shape style="position:absolute;left:9018;top:5410;width:2655;height:289" coordorigin="9019,5411" coordsize="2655,289" path="m9288,5661l9264,5641,9261,5639,9266,5632,9269,5626,9270,5624,9279,5601,9279,5600,9284,5580,9286,5563,9286,5551,9281,5510,9269,5478,9259,5462,9254,5455,9238,5439,9222,5429,9222,5569,9220,5583,9218,5590,9217,5593,9216,5596,9214,5600,9187,5577,9155,5616,9179,5636,9174,5638,9165,5641,9152,5641,9135,5639,9121,5634,9111,5628,9105,5621,9092,5602,9085,5581,9083,5563,9083,5552,9086,5522,9094,5499,9105,5483,9117,5472,9123,5468,9135,5462,9152,5462,9175,5466,9192,5475,9203,5486,9210,5496,9217,5513,9221,5529,9222,5543,9222,5569,9222,5429,9213,5423,9189,5415,9168,5411,9153,5411,9112,5416,9077,5431,9049,5457,9029,5493,9023,5512,9020,5528,9019,5542,9019,5552,9023,5590,9033,5620,9046,5642,9059,5658,9068,5666,9080,5675,9098,5684,9119,5690,9124,5691,9137,5693,9151,5693,9177,5691,9196,5687,9212,5680,9224,5674,9256,5700,9277,5674,9288,5661xm9493,5489l9438,5489,9438,5574,9437,5603,9436,5614,9435,5623,9429,5643,9412,5645,9394,5645,9386,5640,9378,5631,9374,5619,9373,5602,9373,5489,9317,5489,9317,5614,9318,5634,9321,5650,9327,5663,9341,5680,9357,5688,9372,5692,9382,5692,9400,5690,9414,5686,9425,5680,9432,5674,9435,5671,9439,5665,9439,5687,9493,5687,9493,5489xm9714,5605l9714,5588,9711,5565,9710,5562,9702,5537,9696,5528,9684,5510,9665,5495,9655,5491,9655,5562,9575,5562,9577,5556,9577,5554,9579,5551,9588,5538,9598,5531,9608,5528,9616,5528,9631,5530,9642,5536,9648,5543,9652,5550,9653,5554,9654,5558,9655,5562,9655,5491,9646,5487,9630,5484,9617,5483,9590,5486,9569,5494,9554,5504,9543,5514,9528,5535,9520,5557,9517,5575,9516,5588,9519,5614,9525,5635,9533,5651,9541,5662,9562,5679,9584,5688,9602,5692,9616,5693,9625,5693,9638,5691,9655,5687,9672,5679,9685,5670,9695,5661,9702,5652,9704,5647,9707,5643,9709,5637,9712,5630,9712,5624,9654,5624,9654,5628,9652,5631,9650,5634,9645,5640,9636,5647,9609,5647,9603,5645,9599,5643,9585,5636,9579,5621,9578,5616,9576,5611,9575,5607,9575,5605,9714,5605xm9929,5605l9929,5588,9926,5565,9925,5562,9917,5537,9911,5528,9899,5510,9880,5495,9870,5491,9870,5562,9791,5562,9792,5556,9793,5554,9794,5551,9803,5538,9813,5531,9824,5528,9832,5528,9846,5530,9857,5536,9863,5543,9867,5550,9869,5554,9869,5558,9870,5562,9870,5491,9861,5487,9845,5484,9833,5483,9805,5486,9784,5494,9769,5504,9758,5514,9743,5535,9735,5557,9732,5575,9731,5588,9734,5614,9740,5635,9748,5651,9756,5662,9777,5679,9799,5688,9818,5692,9831,5693,9840,5693,9853,5691,9870,5687,9887,5679,9900,5670,9910,5661,9917,5652,9920,5647,9922,5643,9925,5637,9927,5630,9927,5624,9870,5624,9869,5628,9867,5631,9860,5640,9851,5647,9824,5647,9818,5645,9814,5643,9800,5636,9794,5621,9793,5616,9791,5611,9791,5607,9790,5605,9929,5605xm10133,5687l10133,5563,10132,5546,10128,5529,10121,5513,10106,5497,10090,5489,10076,5485,10065,5485,10051,5485,10040,5488,10018,5502,10010,5512,10010,5489,9955,5489,9955,5687,10012,5687,10012,5592,10012,5577,10013,5566,10014,5557,10017,5549,10020,5545,10029,5533,10054,5533,10063,5538,10071,5547,10075,5559,10075,5571,10075,5584,10075,5687,10133,5687xm10336,5626l10335,5618,10333,5607,10326,5594,10315,5582,10304,5576,10289,5570,10272,5565,10249,5560,10224,5555,10215,5546,10215,5530,10224,5525,10259,5525,10269,5532,10275,5543,10277,5552,10330,5552,10330,5542,10324,5521,10312,5508,10293,5494,10273,5486,10255,5484,10244,5483,10215,5486,10193,5494,10178,5505,10168,5518,10161,5529,10161,5546,10166,5572,10180,5589,10196,5598,10209,5602,10255,5614,10269,5616,10278,5626,10278,5630,10278,5643,10270,5651,10250,5651,10236,5650,10225,5646,10218,5641,10213,5634,10211,5630,10209,5625,10209,5619,10155,5619,10154,5631,10160,5652,10167,5661,10170,5665,10192,5681,10216,5690,10237,5693,10249,5693,10259,5693,10276,5691,10296,5685,10315,5673,10322,5667,10328,5657,10334,5644,10336,5626xm10417,5417l10361,5417,10361,5687,10417,5687,10417,5417xm10632,5687l10627,5674,10627,5670,10625,5659,10625,5649,10625,5592,10625,5559,10624,5547,10623,5537,10620,5527,10620,5526,10618,5518,10612,5509,10604,5503,10590,5493,10573,5487,10569,5486,10569,5592,10569,5619,10565,5629,10561,5634,10550,5642,10539,5646,10529,5648,10523,5649,10510,5649,10502,5643,10499,5639,10497,5634,10496,5630,10496,5622,10497,5615,10507,5610,10515,5605,10528,5602,10530,5602,10553,5598,10560,5596,10569,5592,10569,5486,10556,5484,10539,5483,10520,5484,10501,5488,10483,5495,10468,5507,10458,5520,10453,5533,10451,5544,10450,5552,10502,5552,10502,5545,10505,5540,10513,5526,10535,5527,10550,5527,10559,5531,10563,5535,10565,5537,10567,5540,10567,5551,10564,5554,10563,5555,10557,5559,10549,5559,10537,5562,10521,5564,10505,5567,10488,5571,10472,5577,10458,5586,10448,5598,10442,5610,10440,5622,10439,5629,10442,5649,10450,5666,10463,5679,10481,5689,10493,5693,10508,5693,10526,5691,10541,5687,10556,5680,10570,5670,10573,5687,10632,5687xm10833,5687l10833,5563,10832,5546,10829,5529,10821,5513,10807,5497,10791,5489,10776,5485,10765,5485,10752,5485,10741,5488,10718,5502,10711,5512,10711,5489,10656,5489,10656,5687,10712,5687,10712,5592,10712,5577,10713,5566,10714,5557,10717,5549,10721,5545,10729,5533,10754,5533,10763,5538,10771,5547,10775,5559,10776,5571,10776,5584,10776,5687,10833,5687xm11047,5417l10992,5417,10992,5587,10992,5599,10990,5612,10987,5624,10980,5634,10976,5639,10969,5645,10953,5645,10938,5643,10927,5634,10919,5622,10915,5608,10914,5602,10913,5594,10913,5587,10917,5562,10926,5544,10939,5534,10953,5530,10966,5530,10973,5536,10977,5539,10983,5546,10988,5556,10991,5569,10992,5587,10992,5417,10990,5417,10990,5502,10981,5495,10978,5493,10975,5491,10971,5490,10968,5489,10959,5485,10953,5484,10944,5484,10933,5485,10918,5488,10901,5495,10884,5508,10871,5526,10862,5546,10857,5567,10856,5589,10860,5625,10871,5651,10885,5670,10901,5682,10907,5685,10916,5688,10927,5691,10940,5692,10957,5691,10969,5687,10979,5682,10986,5677,10989,5674,10993,5668,10993,5687,11047,5687,11047,5668,11047,5645,11047,5530,11047,5502,11047,5417xm11307,5687l11305,5684,11303,5681,11301,5678,11299,5674,11296,5665,11292,5652,11289,5640,11287,5627,11285,5613,11283,5602,11282,5592,11280,5588,11276,5581,11274,5578,11267,5566,11256,5561,11254,5559,11250,5558,11247,5558,11251,5556,11258,5555,11267,5549,11278,5539,11282,5534,11291,5517,11294,5502,11294,5491,11293,5477,11291,5468,11290,5464,11286,5455,11282,5449,11274,5439,11262,5430,11245,5423,11235,5421,11235,5493,11235,5517,11227,5527,11222,5531,11212,5535,11201,5538,11190,5538,11180,5538,11175,5539,11142,5539,11142,5468,11185,5468,11196,5469,11209,5470,11220,5473,11229,5481,11233,5487,11235,5493,11235,5421,11223,5418,11208,5418,11194,5417,11179,5417,11164,5417,11082,5417,11082,5687,11142,5687,11142,5588,11164,5588,11169,5588,11180,5588,11192,5588,11202,5590,11211,5594,11219,5603,11225,5613,11226,5626,11230,5652,11232,5663,11235,5672,11239,5680,11240,5683,11241,5685,11243,5687,11307,5687xm11505,5687l11500,5674,11499,5670,11497,5659,11497,5649,11497,5592,11497,5559,11497,5547,11495,5537,11493,5527,11493,5526,11490,5518,11484,5509,11477,5503,11462,5493,11446,5487,11441,5486,11441,5592,11441,5619,11438,5629,11433,5634,11423,5642,11411,5646,11402,5648,11395,5649,11382,5649,11375,5643,11372,5639,11369,5634,11369,5630,11369,5622,11370,5615,11380,5610,11388,5605,11401,5602,11402,5602,11425,5598,11433,5596,11441,5592,11441,5486,11429,5484,11411,5483,11392,5484,11373,5488,11355,5495,11340,5507,11331,5520,11326,5533,11324,5544,11323,5552,11375,5552,11375,5545,11378,5540,11385,5526,11407,5527,11423,5527,11432,5531,11435,5535,11437,5537,11440,5540,11440,5551,11437,5554,11435,5555,11430,5559,11422,5559,11409,5562,11393,5564,11377,5567,11360,5571,11344,5577,11330,5586,11320,5598,11314,5610,11312,5622,11312,5629,11314,5649,11323,5666,11336,5679,11353,5689,11365,5693,11380,5693,11398,5691,11414,5687,11428,5680,11443,5670,11445,5687,11505,5687xm11584,5489l11529,5489,11529,5687,11584,5687,11584,5489xm11584,5417l11529,5417,11529,5468,11584,5468,11584,5417xm11673,5417l11617,5417,11617,5687,11673,5687,11673,5417xe" filled="true" fillcolor="#ffffff" stroked="false">
              <v:path arrowok="t"/>
              <v:fill type="solid"/>
            </v:shape>
            <w10:wrap type="none"/>
          </v:group>
        </w:pict>
      </w:r>
    </w:p>
    <w:p>
      <w:pPr>
        <w:pStyle w:val="Title"/>
        <w:spacing w:before="86"/>
      </w:pPr>
      <w:r>
        <w:rPr>
          <w:color w:val="DD0000"/>
        </w:rPr>
        <w:t>Queensland Rail</w:t>
      </w:r>
    </w:p>
    <w:p>
      <w:pPr>
        <w:pStyle w:val="Title"/>
      </w:pPr>
      <w:r>
        <w:rPr>
          <w:color w:val="DD0000"/>
        </w:rPr>
        <w:t>Supplier Code of</w:t>
      </w:r>
      <w:r>
        <w:rPr>
          <w:color w:val="DD0000"/>
          <w:spacing w:val="-166"/>
        </w:rPr>
        <w:t> </w:t>
      </w:r>
      <w:r>
        <w:rPr>
          <w:color w:val="DD0000"/>
        </w:rPr>
        <w:t>Conduct</w:t>
      </w:r>
    </w:p>
    <w:p>
      <w:pPr>
        <w:pStyle w:val="BodyText"/>
        <w:rPr>
          <w:rFonts w:ascii="Trebuchet MS"/>
          <w:b/>
          <w:sz w:val="84"/>
        </w:rPr>
      </w:pPr>
    </w:p>
    <w:p>
      <w:pPr>
        <w:pStyle w:val="BodyText"/>
        <w:rPr>
          <w:rFonts w:ascii="Trebuchet MS"/>
          <w:b/>
          <w:sz w:val="84"/>
        </w:rPr>
      </w:pPr>
    </w:p>
    <w:p>
      <w:pPr>
        <w:pStyle w:val="BodyText"/>
        <w:rPr>
          <w:rFonts w:ascii="Trebuchet MS"/>
          <w:b/>
          <w:sz w:val="84"/>
        </w:rPr>
      </w:pPr>
    </w:p>
    <w:p>
      <w:pPr>
        <w:pStyle w:val="BodyText"/>
        <w:rPr>
          <w:rFonts w:ascii="Trebuchet MS"/>
          <w:b/>
          <w:sz w:val="84"/>
        </w:rPr>
      </w:pPr>
    </w:p>
    <w:p>
      <w:pPr>
        <w:pStyle w:val="BodyText"/>
        <w:rPr>
          <w:rFonts w:ascii="Trebuchet MS"/>
          <w:b/>
          <w:sz w:val="84"/>
        </w:rPr>
      </w:pPr>
    </w:p>
    <w:p>
      <w:pPr>
        <w:pStyle w:val="BodyText"/>
        <w:rPr>
          <w:rFonts w:ascii="Trebuchet MS"/>
          <w:b/>
          <w:sz w:val="84"/>
        </w:rPr>
      </w:pPr>
    </w:p>
    <w:p>
      <w:pPr>
        <w:pStyle w:val="BodyText"/>
        <w:rPr>
          <w:rFonts w:ascii="Trebuchet MS"/>
          <w:b/>
          <w:sz w:val="84"/>
        </w:rPr>
      </w:pPr>
    </w:p>
    <w:p>
      <w:pPr>
        <w:pStyle w:val="BodyText"/>
        <w:rPr>
          <w:rFonts w:ascii="Trebuchet MS"/>
          <w:b/>
          <w:sz w:val="84"/>
        </w:rPr>
      </w:pPr>
    </w:p>
    <w:p>
      <w:pPr>
        <w:pStyle w:val="BodyText"/>
        <w:rPr>
          <w:rFonts w:ascii="Trebuchet MS"/>
          <w:b/>
          <w:sz w:val="84"/>
        </w:rPr>
      </w:pPr>
    </w:p>
    <w:p>
      <w:pPr>
        <w:pStyle w:val="BodyText"/>
        <w:rPr>
          <w:rFonts w:ascii="Trebuchet MS"/>
          <w:b/>
          <w:sz w:val="84"/>
        </w:rPr>
      </w:pPr>
    </w:p>
    <w:p>
      <w:pPr>
        <w:pStyle w:val="BodyText"/>
        <w:rPr>
          <w:rFonts w:ascii="Trebuchet MS"/>
          <w:b/>
          <w:sz w:val="84"/>
        </w:rPr>
      </w:pPr>
    </w:p>
    <w:p>
      <w:pPr>
        <w:pStyle w:val="BodyText"/>
        <w:rPr>
          <w:rFonts w:ascii="Trebuchet MS"/>
          <w:b/>
          <w:sz w:val="84"/>
        </w:rPr>
      </w:pPr>
    </w:p>
    <w:p>
      <w:pPr>
        <w:pStyle w:val="BodyText"/>
        <w:spacing w:before="4"/>
        <w:rPr>
          <w:rFonts w:ascii="Trebuchet MS"/>
          <w:b/>
          <w:sz w:val="74"/>
        </w:rPr>
      </w:pPr>
    </w:p>
    <w:p>
      <w:pPr>
        <w:spacing w:line="206" w:lineRule="exact" w:before="1"/>
        <w:ind w:left="128" w:right="0" w:firstLine="0"/>
        <w:jc w:val="left"/>
        <w:rPr>
          <w:sz w:val="18"/>
        </w:rPr>
      </w:pPr>
      <w:r>
        <w:rPr>
          <w:color w:val="231F20"/>
          <w:sz w:val="18"/>
        </w:rPr>
        <w:t>Supplier Code of Conduct</w:t>
      </w:r>
    </w:p>
    <w:p>
      <w:pPr>
        <w:tabs>
          <w:tab w:pos="9747" w:val="left" w:leader="none"/>
        </w:tabs>
        <w:spacing w:line="216" w:lineRule="exact" w:before="0"/>
        <w:ind w:left="128" w:right="0" w:firstLine="0"/>
        <w:jc w:val="left"/>
        <w:rPr>
          <w:sz w:val="18"/>
        </w:rPr>
      </w:pPr>
      <w:r>
        <w:rPr>
          <w:color w:val="231F20"/>
          <w:sz w:val="18"/>
        </w:rPr>
        <w:t>Queensland Rail Limited ACN (132</w:t>
      </w:r>
      <w:r>
        <w:rPr>
          <w:color w:val="231F20"/>
          <w:spacing w:val="-11"/>
          <w:sz w:val="18"/>
        </w:rPr>
        <w:t> </w:t>
      </w:r>
      <w:r>
        <w:rPr>
          <w:color w:val="231F20"/>
          <w:sz w:val="18"/>
        </w:rPr>
        <w:t>181</w:t>
      </w:r>
      <w:r>
        <w:rPr>
          <w:color w:val="231F20"/>
          <w:spacing w:val="-3"/>
          <w:sz w:val="18"/>
        </w:rPr>
        <w:t> </w:t>
      </w:r>
      <w:r>
        <w:rPr>
          <w:color w:val="231F20"/>
          <w:sz w:val="18"/>
        </w:rPr>
        <w:t>090)</w:t>
        <w:tab/>
      </w:r>
      <w:r>
        <w:rPr>
          <w:color w:val="231F20"/>
          <w:position w:val="1"/>
          <w:sz w:val="18"/>
        </w:rPr>
        <w:t>October</w:t>
      </w:r>
      <w:r>
        <w:rPr>
          <w:color w:val="231F20"/>
          <w:spacing w:val="-1"/>
          <w:position w:val="1"/>
          <w:sz w:val="18"/>
        </w:rPr>
        <w:t> </w:t>
      </w:r>
      <w:r>
        <w:rPr>
          <w:color w:val="231F20"/>
          <w:position w:val="1"/>
          <w:sz w:val="18"/>
        </w:rPr>
        <w:t>2020</w:t>
      </w:r>
    </w:p>
    <w:p>
      <w:pPr>
        <w:spacing w:after="0" w:line="216" w:lineRule="exact"/>
        <w:jc w:val="left"/>
        <w:rPr>
          <w:sz w:val="18"/>
        </w:rPr>
        <w:sectPr>
          <w:type w:val="continuous"/>
          <w:pgSz w:w="11910" w:h="16840"/>
          <w:pgMar w:top="1580" w:bottom="0" w:left="580" w:right="360"/>
        </w:sectPr>
      </w:pPr>
    </w:p>
    <w:p>
      <w:pPr>
        <w:pStyle w:val="BodyText"/>
        <w:rPr>
          <w:sz w:val="20"/>
        </w:rPr>
      </w:pPr>
      <w:r>
        <w:rPr/>
        <w:pict>
          <v:group style="position:absolute;margin-left:.0pt;margin-top:426.738007pt;width:595.3pt;height:415.2pt;mso-position-horizontal-relative:page;mso-position-vertical-relative:page;z-index:15729152" coordorigin="0,8535" coordsize="11906,8304">
            <v:shape style="position:absolute;left:0;top:8560;width:11906;height:8278" type="#_x0000_t75" stroked="false">
              <v:imagedata r:id="rId7" o:title=""/>
            </v:shape>
            <v:shape style="position:absolute;left:0;top:10346;width:11906;height:6492" type="#_x0000_t75" stroked="false">
              <v:imagedata r:id="rId8" o:title=""/>
            </v:shape>
            <v:line style="position:absolute" from="709,15848" to="11197,15867" stroked="true" strokeweight=".5pt" strokecolor="#231f20">
              <v:stroke dashstyle="solid"/>
            </v:line>
            <v:shape style="position:absolute;left:708;top:8534;width:9510;height:2670" type="#_x0000_t202" filled="false" stroked="false">
              <v:textbox inset="0,0,0,0">
                <w:txbxContent>
                  <w:p>
                    <w:pPr>
                      <w:spacing w:line="246" w:lineRule="exact" w:before="0"/>
                      <w:ind w:left="0" w:right="0" w:firstLine="0"/>
                      <w:jc w:val="left"/>
                      <w:rPr>
                        <w:sz w:val="22"/>
                      </w:rPr>
                    </w:pPr>
                    <w:r>
                      <w:rPr>
                        <w:color w:val="231F20"/>
                        <w:sz w:val="22"/>
                      </w:rPr>
                      <w:t>contractual obligations.</w:t>
                    </w:r>
                  </w:p>
                  <w:p>
                    <w:pPr>
                      <w:spacing w:line="240" w:lineRule="auto" w:before="0"/>
                      <w:rPr>
                        <w:sz w:val="26"/>
                      </w:rPr>
                    </w:pPr>
                  </w:p>
                  <w:p>
                    <w:pPr>
                      <w:spacing w:line="249" w:lineRule="auto" w:before="0"/>
                      <w:ind w:left="0" w:right="-1" w:firstLine="0"/>
                      <w:jc w:val="left"/>
                      <w:rPr>
                        <w:sz w:val="22"/>
                      </w:rPr>
                    </w:pPr>
                    <w:r>
                      <w:rPr>
                        <w:color w:val="231F20"/>
                        <w:sz w:val="22"/>
                      </w:rPr>
                      <w:t>Queensland Rail expects suppliers to read, understand and ensure that their business and supply chain meet the expectations set out in our Supplier Code of Conduct. Suppliers must communicate this Code to related entities, suppliers and subcontractors who support them in supplying to Queensland Rail, so that they take reasonable steps to ensure they understand and comply with this code.</w:t>
                    </w:r>
                  </w:p>
                  <w:p>
                    <w:pPr>
                      <w:spacing w:line="240" w:lineRule="auto" w:before="5"/>
                      <w:rPr>
                        <w:sz w:val="25"/>
                      </w:rPr>
                    </w:pPr>
                  </w:p>
                  <w:p>
                    <w:pPr>
                      <w:spacing w:line="249" w:lineRule="auto" w:before="0"/>
                      <w:ind w:left="0" w:right="538" w:firstLine="0"/>
                      <w:jc w:val="left"/>
                      <w:rPr>
                        <w:sz w:val="22"/>
                      </w:rPr>
                    </w:pPr>
                    <w:r>
                      <w:rPr>
                        <w:color w:val="231F20"/>
                        <w:sz w:val="22"/>
                      </w:rPr>
                      <w:t>Suppliers are expected to proactively self-assess compliance and take action to remedy any shortcomings.</w:t>
                    </w:r>
                  </w:p>
                </w:txbxContent>
              </v:textbox>
              <w10:wrap type="none"/>
            </v:shape>
            <v:shape style="position:absolute;left:708;top:16117;width:3582;height:418" type="#_x0000_t202" filled="false" stroked="false">
              <v:textbox inset="0,0,0,0">
                <w:txbxContent>
                  <w:p>
                    <w:pPr>
                      <w:spacing w:line="201" w:lineRule="exact" w:before="0"/>
                      <w:ind w:left="0" w:right="0" w:firstLine="0"/>
                      <w:jc w:val="left"/>
                      <w:rPr>
                        <w:sz w:val="18"/>
                      </w:rPr>
                    </w:pPr>
                    <w:r>
                      <w:rPr>
                        <w:color w:val="231F20"/>
                        <w:sz w:val="18"/>
                      </w:rPr>
                      <w:t>Supplier Code of Conduct</w:t>
                    </w:r>
                  </w:p>
                  <w:p>
                    <w:pPr>
                      <w:spacing w:before="9"/>
                      <w:ind w:left="0" w:right="0" w:firstLine="0"/>
                      <w:jc w:val="left"/>
                      <w:rPr>
                        <w:sz w:val="18"/>
                      </w:rPr>
                    </w:pPr>
                    <w:r>
                      <w:rPr>
                        <w:color w:val="231F20"/>
                        <w:sz w:val="18"/>
                      </w:rPr>
                      <w:t>Queensland Rail Limited ACN (132 181 090)</w:t>
                    </w:r>
                  </w:p>
                </w:txbxContent>
              </v:textbox>
              <w10:wrap type="none"/>
            </v:shape>
            <v:shape style="position:absolute;left:10327;top:16326;width:1112;height:202" type="#_x0000_t202" filled="false" stroked="false">
              <v:textbox inset="0,0,0,0">
                <w:txbxContent>
                  <w:p>
                    <w:pPr>
                      <w:spacing w:line="201" w:lineRule="exact" w:before="0"/>
                      <w:ind w:left="0" w:right="0" w:firstLine="0"/>
                      <w:jc w:val="left"/>
                      <w:rPr>
                        <w:sz w:val="18"/>
                      </w:rPr>
                    </w:pPr>
                    <w:r>
                      <w:rPr>
                        <w:color w:val="231F20"/>
                        <w:sz w:val="18"/>
                      </w:rPr>
                      <w:t>October 2020</w:t>
                    </w:r>
                  </w:p>
                </w:txbxContent>
              </v:textbox>
              <w10:wrap type="none"/>
            </v:shape>
            <w10:wrap type="none"/>
          </v:group>
        </w:pict>
      </w:r>
    </w:p>
    <w:p>
      <w:pPr>
        <w:pStyle w:val="BodyText"/>
        <w:spacing w:before="4"/>
        <w:rPr>
          <w:sz w:val="17"/>
        </w:rPr>
      </w:pPr>
    </w:p>
    <w:p>
      <w:pPr>
        <w:pStyle w:val="BodyText"/>
        <w:spacing w:before="93"/>
        <w:ind w:left="128"/>
      </w:pPr>
      <w:r>
        <w:rPr>
          <w:color w:val="231F20"/>
        </w:rPr>
        <w:t>Queensland Rail’s goal is to provide a customer focused, safe, reliable, on-time and value for money rail</w:t>
      </w:r>
    </w:p>
    <w:p>
      <w:pPr>
        <w:pStyle w:val="BodyText"/>
        <w:spacing w:line="501" w:lineRule="auto" w:before="11"/>
        <w:ind w:left="128" w:right="661"/>
      </w:pPr>
      <w:r>
        <w:rPr>
          <w:color w:val="231F20"/>
        </w:rPr>
        <w:t>service that benefits the community, supports industry and is integrated with the public transport system. We recognise our suppliers play a pivotal role in the achievements of these outcomes.</w:t>
      </w:r>
    </w:p>
    <w:p>
      <w:pPr>
        <w:pStyle w:val="BodyText"/>
        <w:spacing w:line="252" w:lineRule="exact"/>
        <w:ind w:left="128"/>
      </w:pPr>
      <w:r>
        <w:rPr>
          <w:color w:val="231F20"/>
        </w:rPr>
        <w:t>This Supplier Code of Conduct (Code) sets out the expectations that Queensland Rail has of its existing</w:t>
      </w:r>
    </w:p>
    <w:p>
      <w:pPr>
        <w:pStyle w:val="BodyText"/>
        <w:spacing w:before="11"/>
        <w:ind w:left="128"/>
      </w:pPr>
      <w:r>
        <w:rPr>
          <w:color w:val="231F20"/>
        </w:rPr>
        <w:t>and future suppliers in the following areas:</w:t>
      </w:r>
    </w:p>
    <w:p>
      <w:pPr>
        <w:pStyle w:val="BodyText"/>
        <w:spacing w:before="10"/>
        <w:rPr>
          <w:sz w:val="23"/>
        </w:rPr>
      </w:pPr>
    </w:p>
    <w:p>
      <w:pPr>
        <w:pStyle w:val="ListParagraph"/>
        <w:numPr>
          <w:ilvl w:val="0"/>
          <w:numId w:val="1"/>
        </w:numPr>
        <w:tabs>
          <w:tab w:pos="1205" w:val="left" w:leader="none"/>
          <w:tab w:pos="1206" w:val="left" w:leader="none"/>
        </w:tabs>
        <w:spacing w:line="240" w:lineRule="auto" w:before="1" w:after="0"/>
        <w:ind w:left="1205" w:right="0" w:hanging="511"/>
        <w:jc w:val="left"/>
        <w:rPr>
          <w:sz w:val="22"/>
        </w:rPr>
      </w:pPr>
      <w:r>
        <w:rPr>
          <w:color w:val="231F20"/>
          <w:sz w:val="22"/>
        </w:rPr>
        <w:t>Safety</w:t>
      </w:r>
    </w:p>
    <w:p>
      <w:pPr>
        <w:pStyle w:val="BodyText"/>
        <w:spacing w:before="10"/>
        <w:rPr>
          <w:sz w:val="23"/>
        </w:rPr>
      </w:pPr>
    </w:p>
    <w:p>
      <w:pPr>
        <w:pStyle w:val="ListParagraph"/>
        <w:numPr>
          <w:ilvl w:val="0"/>
          <w:numId w:val="1"/>
        </w:numPr>
        <w:tabs>
          <w:tab w:pos="1205" w:val="left" w:leader="none"/>
          <w:tab w:pos="1206" w:val="left" w:leader="none"/>
        </w:tabs>
        <w:spacing w:line="240" w:lineRule="auto" w:before="0" w:after="0"/>
        <w:ind w:left="1205" w:right="0" w:hanging="511"/>
        <w:jc w:val="left"/>
        <w:rPr>
          <w:sz w:val="22"/>
        </w:rPr>
      </w:pPr>
      <w:r>
        <w:rPr>
          <w:color w:val="231F20"/>
          <w:sz w:val="22"/>
        </w:rPr>
        <w:t>Ethical Behaviour</w:t>
      </w:r>
    </w:p>
    <w:p>
      <w:pPr>
        <w:pStyle w:val="BodyText"/>
        <w:spacing w:before="10"/>
        <w:rPr>
          <w:sz w:val="23"/>
        </w:rPr>
      </w:pPr>
    </w:p>
    <w:p>
      <w:pPr>
        <w:pStyle w:val="ListParagraph"/>
        <w:numPr>
          <w:ilvl w:val="0"/>
          <w:numId w:val="1"/>
        </w:numPr>
        <w:tabs>
          <w:tab w:pos="1205" w:val="left" w:leader="none"/>
          <w:tab w:pos="1206" w:val="left" w:leader="none"/>
        </w:tabs>
        <w:spacing w:line="240" w:lineRule="auto" w:before="1" w:after="0"/>
        <w:ind w:left="1205" w:right="0" w:hanging="511"/>
        <w:jc w:val="left"/>
        <w:rPr>
          <w:sz w:val="22"/>
        </w:rPr>
      </w:pPr>
      <w:r>
        <w:rPr>
          <w:color w:val="231F20"/>
          <w:sz w:val="22"/>
        </w:rPr>
        <w:t>Labour and Human</w:t>
      </w:r>
      <w:r>
        <w:rPr>
          <w:color w:val="231F20"/>
          <w:spacing w:val="-1"/>
          <w:sz w:val="22"/>
        </w:rPr>
        <w:t> </w:t>
      </w:r>
      <w:r>
        <w:rPr>
          <w:color w:val="231F20"/>
          <w:sz w:val="22"/>
        </w:rPr>
        <w:t>Rights</w:t>
      </w:r>
    </w:p>
    <w:p>
      <w:pPr>
        <w:pStyle w:val="BodyText"/>
        <w:spacing w:before="10"/>
        <w:rPr>
          <w:sz w:val="23"/>
        </w:rPr>
      </w:pPr>
    </w:p>
    <w:p>
      <w:pPr>
        <w:pStyle w:val="ListParagraph"/>
        <w:numPr>
          <w:ilvl w:val="0"/>
          <w:numId w:val="1"/>
        </w:numPr>
        <w:tabs>
          <w:tab w:pos="1205" w:val="left" w:leader="none"/>
          <w:tab w:pos="1206" w:val="left" w:leader="none"/>
        </w:tabs>
        <w:spacing w:line="240" w:lineRule="auto" w:before="0" w:after="0"/>
        <w:ind w:left="1205" w:right="0" w:hanging="511"/>
        <w:jc w:val="left"/>
        <w:rPr>
          <w:sz w:val="22"/>
        </w:rPr>
      </w:pPr>
      <w:r>
        <w:rPr>
          <w:color w:val="231F20"/>
          <w:sz w:val="22"/>
        </w:rPr>
        <w:t>Social Responsibilities</w:t>
      </w:r>
    </w:p>
    <w:p>
      <w:pPr>
        <w:pStyle w:val="BodyText"/>
        <w:spacing w:before="11"/>
        <w:rPr>
          <w:sz w:val="23"/>
        </w:rPr>
      </w:pPr>
    </w:p>
    <w:p>
      <w:pPr>
        <w:pStyle w:val="ListParagraph"/>
        <w:numPr>
          <w:ilvl w:val="0"/>
          <w:numId w:val="1"/>
        </w:numPr>
        <w:tabs>
          <w:tab w:pos="1205" w:val="left" w:leader="none"/>
          <w:tab w:pos="1206" w:val="left" w:leader="none"/>
        </w:tabs>
        <w:spacing w:line="240" w:lineRule="auto" w:before="0" w:after="0"/>
        <w:ind w:left="1205" w:right="0" w:hanging="511"/>
        <w:jc w:val="left"/>
        <w:rPr>
          <w:sz w:val="22"/>
        </w:rPr>
      </w:pPr>
      <w:r>
        <w:rPr>
          <w:color w:val="231F20"/>
          <w:sz w:val="22"/>
        </w:rPr>
        <w:t>Environmental Sustainability</w:t>
      </w:r>
    </w:p>
    <w:p>
      <w:pPr>
        <w:pStyle w:val="BodyText"/>
        <w:spacing w:before="10"/>
        <w:rPr>
          <w:sz w:val="23"/>
        </w:rPr>
      </w:pPr>
    </w:p>
    <w:p>
      <w:pPr>
        <w:pStyle w:val="ListParagraph"/>
        <w:numPr>
          <w:ilvl w:val="0"/>
          <w:numId w:val="1"/>
        </w:numPr>
        <w:tabs>
          <w:tab w:pos="1205" w:val="left" w:leader="none"/>
          <w:tab w:pos="1206" w:val="left" w:leader="none"/>
        </w:tabs>
        <w:spacing w:line="240" w:lineRule="auto" w:before="0" w:after="0"/>
        <w:ind w:left="1205" w:right="0" w:hanging="511"/>
        <w:jc w:val="left"/>
        <w:rPr>
          <w:sz w:val="22"/>
        </w:rPr>
      </w:pPr>
      <w:r>
        <w:rPr>
          <w:color w:val="231F20"/>
          <w:sz w:val="22"/>
        </w:rPr>
        <w:t>Publicity and</w:t>
      </w:r>
      <w:r>
        <w:rPr>
          <w:color w:val="231F20"/>
          <w:spacing w:val="-13"/>
          <w:sz w:val="22"/>
        </w:rPr>
        <w:t> </w:t>
      </w:r>
      <w:r>
        <w:rPr>
          <w:color w:val="231F20"/>
          <w:sz w:val="22"/>
        </w:rPr>
        <w:t>Advertising</w:t>
      </w:r>
    </w:p>
    <w:p>
      <w:pPr>
        <w:pStyle w:val="BodyText"/>
        <w:spacing w:before="11"/>
        <w:rPr>
          <w:sz w:val="23"/>
        </w:rPr>
      </w:pPr>
    </w:p>
    <w:p>
      <w:pPr>
        <w:pStyle w:val="BodyText"/>
        <w:ind w:left="128"/>
      </w:pPr>
      <w:r>
        <w:rPr>
          <w:color w:val="231F20"/>
        </w:rPr>
        <w:t>The expectations in this Code are not intended to alter or override suppliers’ legal, regulatory and</w:t>
      </w:r>
    </w:p>
    <w:p>
      <w:pPr>
        <w:spacing w:after="0"/>
        <w:sectPr>
          <w:headerReference w:type="default" r:id="rId6"/>
          <w:pgSz w:w="11910" w:h="16840"/>
          <w:pgMar w:header="621" w:footer="0" w:top="2460" w:bottom="0" w:left="580" w:right="360"/>
        </w:sectPr>
      </w:pPr>
    </w:p>
    <w:p>
      <w:pPr>
        <w:pStyle w:val="BodyText"/>
        <w:rPr>
          <w:sz w:val="20"/>
        </w:rPr>
      </w:pPr>
    </w:p>
    <w:p>
      <w:pPr>
        <w:spacing w:after="0"/>
        <w:rPr>
          <w:sz w:val="20"/>
        </w:rPr>
        <w:sectPr>
          <w:headerReference w:type="default" r:id="rId9"/>
          <w:pgSz w:w="11910" w:h="16840"/>
          <w:pgMar w:header="621" w:footer="0" w:top="2460" w:bottom="0" w:left="580" w:right="360"/>
        </w:sectPr>
      </w:pPr>
    </w:p>
    <w:p>
      <w:pPr>
        <w:pStyle w:val="BodyText"/>
        <w:spacing w:line="249" w:lineRule="auto" w:before="211"/>
        <w:ind w:left="128" w:right="107"/>
      </w:pPr>
      <w:r>
        <w:rPr>
          <w:color w:val="231F20"/>
        </w:rPr>
        <w:t>Queensland Rail is committed to ensuring the health and safety of our employees, contractors, customers and visitors. Suppliers must adhere to all Queensland Rail safety requirements whilst on</w:t>
      </w:r>
      <w:r>
        <w:rPr>
          <w:color w:val="231F20"/>
          <w:spacing w:val="-11"/>
        </w:rPr>
        <w:t> </w:t>
      </w:r>
      <w:r>
        <w:rPr>
          <w:color w:val="231F20"/>
        </w:rPr>
        <w:t>site.</w:t>
      </w:r>
    </w:p>
    <w:p>
      <w:pPr>
        <w:pStyle w:val="BodyText"/>
        <w:spacing w:before="3"/>
        <w:rPr>
          <w:sz w:val="23"/>
        </w:rPr>
      </w:pPr>
    </w:p>
    <w:p>
      <w:pPr>
        <w:pStyle w:val="BodyText"/>
        <w:ind w:left="128"/>
      </w:pPr>
      <w:r>
        <w:rPr>
          <w:color w:val="231F20"/>
        </w:rPr>
        <w:t>We expect suppliers will:</w:t>
      </w:r>
    </w:p>
    <w:p>
      <w:pPr>
        <w:pStyle w:val="BodyText"/>
        <w:spacing w:before="10"/>
        <w:rPr>
          <w:sz w:val="23"/>
        </w:rPr>
      </w:pPr>
    </w:p>
    <w:p>
      <w:pPr>
        <w:pStyle w:val="ListParagraph"/>
        <w:numPr>
          <w:ilvl w:val="0"/>
          <w:numId w:val="2"/>
        </w:numPr>
        <w:tabs>
          <w:tab w:pos="639" w:val="left" w:leader="none"/>
        </w:tabs>
        <w:spacing w:line="249" w:lineRule="auto" w:before="0" w:after="0"/>
        <w:ind w:left="638" w:right="270" w:hanging="511"/>
        <w:jc w:val="both"/>
        <w:rPr>
          <w:sz w:val="22"/>
        </w:rPr>
      </w:pPr>
      <w:r>
        <w:rPr>
          <w:color w:val="231F20"/>
          <w:sz w:val="22"/>
        </w:rPr>
        <w:t>Create and maintain a healthy and safe work environment and integrate sound health and safety management</w:t>
      </w:r>
      <w:r>
        <w:rPr>
          <w:color w:val="231F20"/>
          <w:spacing w:val="-1"/>
          <w:sz w:val="22"/>
        </w:rPr>
        <w:t> </w:t>
      </w:r>
      <w:r>
        <w:rPr>
          <w:color w:val="231F20"/>
          <w:sz w:val="22"/>
        </w:rPr>
        <w:t>practices</w:t>
      </w:r>
    </w:p>
    <w:p>
      <w:pPr>
        <w:pStyle w:val="BodyText"/>
        <w:spacing w:before="2"/>
        <w:rPr>
          <w:sz w:val="23"/>
        </w:rPr>
      </w:pPr>
    </w:p>
    <w:p>
      <w:pPr>
        <w:pStyle w:val="ListParagraph"/>
        <w:numPr>
          <w:ilvl w:val="0"/>
          <w:numId w:val="2"/>
        </w:numPr>
        <w:tabs>
          <w:tab w:pos="638" w:val="left" w:leader="none"/>
          <w:tab w:pos="639" w:val="left" w:leader="none"/>
        </w:tabs>
        <w:spacing w:line="249" w:lineRule="auto" w:before="1" w:after="0"/>
        <w:ind w:left="638" w:right="197" w:hanging="511"/>
        <w:jc w:val="left"/>
        <w:rPr>
          <w:sz w:val="22"/>
        </w:rPr>
      </w:pPr>
      <w:r>
        <w:rPr>
          <w:color w:val="231F20"/>
          <w:sz w:val="22"/>
        </w:rPr>
        <w:t>Maintain and monitor a risk management process to identify, manage and control relevant risks associated with their</w:t>
      </w:r>
      <w:r>
        <w:rPr>
          <w:color w:val="231F20"/>
          <w:spacing w:val="-23"/>
          <w:sz w:val="22"/>
        </w:rPr>
        <w:t> </w:t>
      </w:r>
      <w:r>
        <w:rPr>
          <w:color w:val="231F20"/>
          <w:sz w:val="22"/>
        </w:rPr>
        <w:t>operations</w:t>
      </w:r>
    </w:p>
    <w:p>
      <w:pPr>
        <w:pStyle w:val="BodyText"/>
        <w:spacing w:before="2"/>
        <w:rPr>
          <w:sz w:val="23"/>
        </w:rPr>
      </w:pPr>
    </w:p>
    <w:p>
      <w:pPr>
        <w:pStyle w:val="ListParagraph"/>
        <w:numPr>
          <w:ilvl w:val="0"/>
          <w:numId w:val="2"/>
        </w:numPr>
        <w:tabs>
          <w:tab w:pos="639" w:val="left" w:leader="none"/>
        </w:tabs>
        <w:spacing w:line="249" w:lineRule="auto" w:before="0" w:after="0"/>
        <w:ind w:left="638" w:right="306" w:hanging="511"/>
        <w:jc w:val="both"/>
        <w:rPr>
          <w:sz w:val="22"/>
        </w:rPr>
      </w:pPr>
      <w:r>
        <w:rPr>
          <w:color w:val="231F20"/>
          <w:sz w:val="22"/>
        </w:rPr>
        <w:t>Ensure their people are fit for work and have the required training and competency for the work being</w:t>
      </w:r>
      <w:r>
        <w:rPr>
          <w:color w:val="231F20"/>
          <w:spacing w:val="-3"/>
          <w:sz w:val="22"/>
        </w:rPr>
        <w:t> </w:t>
      </w:r>
      <w:r>
        <w:rPr>
          <w:color w:val="231F20"/>
          <w:sz w:val="22"/>
        </w:rPr>
        <w:t>performed</w:t>
      </w:r>
    </w:p>
    <w:p>
      <w:pPr>
        <w:pStyle w:val="BodyText"/>
        <w:spacing w:before="2"/>
        <w:rPr>
          <w:sz w:val="23"/>
        </w:rPr>
      </w:pPr>
    </w:p>
    <w:p>
      <w:pPr>
        <w:pStyle w:val="ListParagraph"/>
        <w:numPr>
          <w:ilvl w:val="0"/>
          <w:numId w:val="2"/>
        </w:numPr>
        <w:tabs>
          <w:tab w:pos="638" w:val="left" w:leader="none"/>
          <w:tab w:pos="639" w:val="left" w:leader="none"/>
        </w:tabs>
        <w:spacing w:line="240" w:lineRule="auto" w:before="0" w:after="0"/>
        <w:ind w:left="638" w:right="0" w:hanging="511"/>
        <w:jc w:val="left"/>
        <w:rPr>
          <w:sz w:val="22"/>
        </w:rPr>
      </w:pPr>
      <w:r>
        <w:rPr>
          <w:color w:val="231F20"/>
          <w:sz w:val="22"/>
        </w:rPr>
        <w:t>Consult with relevant parties in relation to</w:t>
      </w:r>
      <w:r>
        <w:rPr>
          <w:color w:val="231F20"/>
          <w:spacing w:val="-14"/>
          <w:sz w:val="22"/>
        </w:rPr>
        <w:t> </w:t>
      </w:r>
      <w:r>
        <w:rPr>
          <w:color w:val="231F20"/>
          <w:sz w:val="22"/>
        </w:rPr>
        <w:t>the</w:t>
      </w:r>
    </w:p>
    <w:p>
      <w:pPr>
        <w:pStyle w:val="BodyText"/>
        <w:spacing w:before="11"/>
        <w:ind w:left="638"/>
      </w:pPr>
      <w:r>
        <w:rPr>
          <w:color w:val="231F20"/>
        </w:rPr>
        <w:t>provision of information and training</w:t>
      </w:r>
    </w:p>
    <w:p>
      <w:pPr>
        <w:pStyle w:val="BodyText"/>
        <w:spacing w:before="11"/>
        <w:rPr>
          <w:sz w:val="23"/>
        </w:rPr>
      </w:pPr>
    </w:p>
    <w:p>
      <w:pPr>
        <w:pStyle w:val="ListParagraph"/>
        <w:numPr>
          <w:ilvl w:val="0"/>
          <w:numId w:val="2"/>
        </w:numPr>
        <w:tabs>
          <w:tab w:pos="638" w:val="left" w:leader="none"/>
          <w:tab w:pos="639" w:val="left" w:leader="none"/>
        </w:tabs>
        <w:spacing w:line="249" w:lineRule="auto" w:before="0" w:after="0"/>
        <w:ind w:left="638" w:right="281" w:hanging="511"/>
        <w:jc w:val="left"/>
        <w:rPr>
          <w:sz w:val="22"/>
        </w:rPr>
      </w:pPr>
      <w:r>
        <w:rPr>
          <w:color w:val="231F20"/>
          <w:sz w:val="22"/>
        </w:rPr>
        <w:t>Comply with all relevant national and local safety legislation, including health and </w:t>
      </w:r>
      <w:r>
        <w:rPr>
          <w:color w:val="231F20"/>
          <w:spacing w:val="-3"/>
          <w:sz w:val="22"/>
        </w:rPr>
        <w:t>safety </w:t>
      </w:r>
      <w:r>
        <w:rPr>
          <w:color w:val="231F20"/>
          <w:sz w:val="22"/>
        </w:rPr>
        <w:t>management</w:t>
      </w:r>
      <w:r>
        <w:rPr>
          <w:color w:val="231F20"/>
          <w:spacing w:val="-1"/>
          <w:sz w:val="22"/>
        </w:rPr>
        <w:t> </w:t>
      </w:r>
      <w:r>
        <w:rPr>
          <w:color w:val="231F20"/>
          <w:sz w:val="22"/>
        </w:rPr>
        <w:t>reporting</w:t>
      </w:r>
    </w:p>
    <w:p>
      <w:pPr>
        <w:pStyle w:val="BodyText"/>
        <w:spacing w:before="2"/>
        <w:rPr>
          <w:sz w:val="23"/>
        </w:rPr>
      </w:pPr>
    </w:p>
    <w:p>
      <w:pPr>
        <w:pStyle w:val="ListParagraph"/>
        <w:numPr>
          <w:ilvl w:val="0"/>
          <w:numId w:val="2"/>
        </w:numPr>
        <w:tabs>
          <w:tab w:pos="638" w:val="left" w:leader="none"/>
          <w:tab w:pos="639" w:val="left" w:leader="none"/>
        </w:tabs>
        <w:spacing w:line="249" w:lineRule="auto" w:before="0" w:after="0"/>
        <w:ind w:left="638" w:right="38" w:hanging="511"/>
        <w:jc w:val="left"/>
        <w:rPr>
          <w:sz w:val="22"/>
        </w:rPr>
      </w:pPr>
      <w:r>
        <w:rPr>
          <w:color w:val="231F20"/>
          <w:sz w:val="22"/>
        </w:rPr>
        <w:t>Participate in industry or Government initiatives that aim to improve workplace health and safety outcomes</w:t>
      </w:r>
    </w:p>
    <w:p>
      <w:pPr>
        <w:pStyle w:val="BodyText"/>
        <w:spacing w:before="2"/>
        <w:rPr>
          <w:sz w:val="23"/>
        </w:rPr>
      </w:pPr>
    </w:p>
    <w:p>
      <w:pPr>
        <w:pStyle w:val="ListParagraph"/>
        <w:numPr>
          <w:ilvl w:val="0"/>
          <w:numId w:val="2"/>
        </w:numPr>
        <w:tabs>
          <w:tab w:pos="638" w:val="left" w:leader="none"/>
          <w:tab w:pos="639" w:val="left" w:leader="none"/>
        </w:tabs>
        <w:spacing w:line="249" w:lineRule="auto" w:before="0" w:after="0"/>
        <w:ind w:left="638" w:right="758" w:hanging="511"/>
        <w:jc w:val="left"/>
        <w:rPr>
          <w:sz w:val="22"/>
        </w:rPr>
      </w:pPr>
      <w:r>
        <w:rPr>
          <w:color w:val="231F20"/>
          <w:sz w:val="22"/>
        </w:rPr>
        <w:t>Maintain and monitor appropriate </w:t>
      </w:r>
      <w:r>
        <w:rPr>
          <w:color w:val="231F20"/>
          <w:spacing w:val="-3"/>
          <w:sz w:val="22"/>
        </w:rPr>
        <w:t>safety </w:t>
      </w:r>
      <w:r>
        <w:rPr>
          <w:color w:val="231F20"/>
          <w:sz w:val="22"/>
        </w:rPr>
        <w:t>policies and</w:t>
      </w:r>
      <w:r>
        <w:rPr>
          <w:color w:val="231F20"/>
          <w:spacing w:val="-1"/>
          <w:sz w:val="22"/>
        </w:rPr>
        <w:t> </w:t>
      </w:r>
      <w:r>
        <w:rPr>
          <w:color w:val="231F20"/>
          <w:sz w:val="22"/>
        </w:rPr>
        <w:t>procedures</w:t>
      </w:r>
    </w:p>
    <w:p>
      <w:pPr>
        <w:pStyle w:val="BodyText"/>
        <w:spacing w:before="1"/>
        <w:rPr>
          <w:sz w:val="23"/>
        </w:rPr>
      </w:pPr>
    </w:p>
    <w:p>
      <w:pPr>
        <w:pStyle w:val="ListParagraph"/>
        <w:numPr>
          <w:ilvl w:val="0"/>
          <w:numId w:val="2"/>
        </w:numPr>
        <w:tabs>
          <w:tab w:pos="638" w:val="left" w:leader="none"/>
          <w:tab w:pos="639" w:val="left" w:leader="none"/>
        </w:tabs>
        <w:spacing w:line="240" w:lineRule="auto" w:before="0" w:after="0"/>
        <w:ind w:left="638" w:right="0" w:hanging="511"/>
        <w:jc w:val="left"/>
        <w:rPr>
          <w:sz w:val="22"/>
        </w:rPr>
      </w:pPr>
      <w:r>
        <w:rPr>
          <w:color w:val="231F20"/>
          <w:sz w:val="22"/>
        </w:rPr>
        <w:t>Keep abreast of changes in work place</w:t>
      </w:r>
      <w:r>
        <w:rPr>
          <w:color w:val="231F20"/>
          <w:spacing w:val="-19"/>
          <w:sz w:val="22"/>
        </w:rPr>
        <w:t> </w:t>
      </w:r>
      <w:r>
        <w:rPr>
          <w:color w:val="231F20"/>
          <w:sz w:val="22"/>
        </w:rPr>
        <w:t>health</w:t>
      </w:r>
    </w:p>
    <w:p>
      <w:pPr>
        <w:pStyle w:val="BodyText"/>
        <w:spacing w:before="12"/>
        <w:ind w:left="638"/>
      </w:pPr>
      <w:r>
        <w:rPr>
          <w:color w:val="231F20"/>
        </w:rPr>
        <w:t>and safety legislation</w:t>
      </w:r>
    </w:p>
    <w:p>
      <w:pPr>
        <w:pStyle w:val="BodyText"/>
        <w:spacing w:before="10"/>
        <w:rPr>
          <w:sz w:val="23"/>
        </w:rPr>
      </w:pPr>
    </w:p>
    <w:p>
      <w:pPr>
        <w:pStyle w:val="ListParagraph"/>
        <w:numPr>
          <w:ilvl w:val="0"/>
          <w:numId w:val="2"/>
        </w:numPr>
        <w:tabs>
          <w:tab w:pos="638" w:val="left" w:leader="none"/>
          <w:tab w:pos="639" w:val="left" w:leader="none"/>
        </w:tabs>
        <w:spacing w:line="249" w:lineRule="auto" w:before="0" w:after="0"/>
        <w:ind w:left="638" w:right="196" w:hanging="511"/>
        <w:jc w:val="left"/>
        <w:rPr>
          <w:sz w:val="22"/>
        </w:rPr>
      </w:pPr>
      <w:r>
        <w:rPr>
          <w:color w:val="231F20"/>
          <w:sz w:val="22"/>
        </w:rPr>
        <w:t>Commit their suppliers and sub-contractors to operate with the same</w:t>
      </w:r>
      <w:r>
        <w:rPr>
          <w:color w:val="231F20"/>
          <w:spacing w:val="-4"/>
          <w:sz w:val="22"/>
        </w:rPr>
        <w:t> </w:t>
      </w:r>
      <w:r>
        <w:rPr>
          <w:color w:val="231F20"/>
          <w:sz w:val="22"/>
        </w:rPr>
        <w:t>standards.</w:t>
      </w:r>
    </w:p>
    <w:p>
      <w:pPr>
        <w:pStyle w:val="BodyText"/>
        <w:spacing w:line="249" w:lineRule="auto" w:before="211"/>
        <w:ind w:left="128" w:right="399"/>
      </w:pPr>
      <w:r>
        <w:rPr/>
        <w:br w:type="column"/>
      </w:r>
      <w:r>
        <w:rPr>
          <w:color w:val="231F20"/>
        </w:rPr>
        <w:t>Queensland Rail is committed to doing business with integrity, probity and accountability and expect our suppliers to commit to the same standards.</w:t>
      </w:r>
    </w:p>
    <w:p>
      <w:pPr>
        <w:pStyle w:val="BodyText"/>
        <w:rPr>
          <w:sz w:val="24"/>
        </w:rPr>
      </w:pPr>
    </w:p>
    <w:p>
      <w:pPr>
        <w:pStyle w:val="BodyText"/>
        <w:spacing w:before="1"/>
      </w:pPr>
    </w:p>
    <w:p>
      <w:pPr>
        <w:pStyle w:val="BodyText"/>
        <w:spacing w:before="1"/>
        <w:ind w:left="128"/>
      </w:pPr>
      <w:r>
        <w:rPr>
          <w:color w:val="231F20"/>
        </w:rPr>
        <w:t>In particular, we expect our suppliers to:</w:t>
      </w:r>
    </w:p>
    <w:p>
      <w:pPr>
        <w:pStyle w:val="BodyText"/>
        <w:spacing w:before="10"/>
        <w:rPr>
          <w:sz w:val="23"/>
        </w:rPr>
      </w:pPr>
    </w:p>
    <w:p>
      <w:pPr>
        <w:pStyle w:val="ListParagraph"/>
        <w:numPr>
          <w:ilvl w:val="0"/>
          <w:numId w:val="2"/>
        </w:numPr>
        <w:tabs>
          <w:tab w:pos="639" w:val="left" w:leader="none"/>
        </w:tabs>
        <w:spacing w:line="249" w:lineRule="auto" w:before="0" w:after="0"/>
        <w:ind w:left="638" w:right="404" w:hanging="511"/>
        <w:jc w:val="both"/>
        <w:rPr>
          <w:sz w:val="22"/>
        </w:rPr>
      </w:pPr>
      <w:r>
        <w:rPr>
          <w:color w:val="231F20"/>
          <w:sz w:val="22"/>
        </w:rPr>
        <w:t>Comply with the Ethical Supplier Threshold, as described within the Queensland Procurement Policy 2019 (clause</w:t>
      </w:r>
      <w:r>
        <w:rPr>
          <w:color w:val="231F20"/>
          <w:spacing w:val="-2"/>
          <w:sz w:val="22"/>
        </w:rPr>
        <w:t> </w:t>
      </w:r>
      <w:r>
        <w:rPr>
          <w:color w:val="231F20"/>
          <w:sz w:val="22"/>
        </w:rPr>
        <w:t>2.3)</w:t>
      </w:r>
    </w:p>
    <w:p>
      <w:pPr>
        <w:pStyle w:val="BodyText"/>
        <w:spacing w:before="2"/>
        <w:rPr>
          <w:sz w:val="23"/>
        </w:rPr>
      </w:pPr>
    </w:p>
    <w:p>
      <w:pPr>
        <w:pStyle w:val="ListParagraph"/>
        <w:numPr>
          <w:ilvl w:val="0"/>
          <w:numId w:val="2"/>
        </w:numPr>
        <w:tabs>
          <w:tab w:pos="638" w:val="left" w:leader="none"/>
          <w:tab w:pos="639" w:val="left" w:leader="none"/>
        </w:tabs>
        <w:spacing w:line="249" w:lineRule="auto" w:before="0" w:after="0"/>
        <w:ind w:left="638" w:right="699" w:hanging="511"/>
        <w:jc w:val="left"/>
        <w:rPr>
          <w:sz w:val="22"/>
        </w:rPr>
      </w:pPr>
      <w:r>
        <w:rPr>
          <w:color w:val="231F20"/>
          <w:sz w:val="22"/>
        </w:rPr>
        <w:t>Offer payment terms to sub-contractors </w:t>
      </w:r>
      <w:r>
        <w:rPr>
          <w:color w:val="231F20"/>
          <w:spacing w:val="-4"/>
          <w:sz w:val="22"/>
        </w:rPr>
        <w:t>that </w:t>
      </w:r>
      <w:r>
        <w:rPr>
          <w:color w:val="231F20"/>
          <w:sz w:val="22"/>
        </w:rPr>
        <w:t>are no less favorable than those provided to you by Queensland Rail (unless agreed otherwise)</w:t>
      </w:r>
    </w:p>
    <w:p>
      <w:pPr>
        <w:pStyle w:val="BodyText"/>
        <w:spacing w:before="3"/>
        <w:rPr>
          <w:sz w:val="23"/>
        </w:rPr>
      </w:pPr>
    </w:p>
    <w:p>
      <w:pPr>
        <w:pStyle w:val="ListParagraph"/>
        <w:numPr>
          <w:ilvl w:val="0"/>
          <w:numId w:val="2"/>
        </w:numPr>
        <w:tabs>
          <w:tab w:pos="638" w:val="left" w:leader="none"/>
          <w:tab w:pos="639" w:val="left" w:leader="none"/>
        </w:tabs>
        <w:spacing w:line="249" w:lineRule="auto" w:before="0" w:after="0"/>
        <w:ind w:left="638" w:right="486" w:hanging="511"/>
        <w:jc w:val="left"/>
        <w:rPr>
          <w:sz w:val="22"/>
        </w:rPr>
      </w:pPr>
      <w:r>
        <w:rPr>
          <w:color w:val="231F20"/>
          <w:sz w:val="22"/>
        </w:rPr>
        <w:t>Meet relevant compliance requirements and the Australian Standard (or international standard where this is no Australian</w:t>
      </w:r>
      <w:r>
        <w:rPr>
          <w:color w:val="231F20"/>
          <w:spacing w:val="-20"/>
          <w:sz w:val="22"/>
        </w:rPr>
        <w:t> </w:t>
      </w:r>
      <w:r>
        <w:rPr>
          <w:color w:val="231F20"/>
          <w:sz w:val="22"/>
        </w:rPr>
        <w:t>standard) and ensure the use of conforming products and</w:t>
      </w:r>
      <w:r>
        <w:rPr>
          <w:color w:val="231F20"/>
          <w:spacing w:val="-2"/>
          <w:sz w:val="22"/>
        </w:rPr>
        <w:t> </w:t>
      </w:r>
      <w:r>
        <w:rPr>
          <w:color w:val="231F20"/>
          <w:sz w:val="22"/>
        </w:rPr>
        <w:t>materials.</w:t>
      </w:r>
    </w:p>
    <w:p>
      <w:pPr>
        <w:pStyle w:val="BodyText"/>
        <w:spacing w:before="4"/>
        <w:rPr>
          <w:sz w:val="23"/>
        </w:rPr>
      </w:pPr>
    </w:p>
    <w:p>
      <w:pPr>
        <w:pStyle w:val="ListParagraph"/>
        <w:numPr>
          <w:ilvl w:val="0"/>
          <w:numId w:val="2"/>
        </w:numPr>
        <w:tabs>
          <w:tab w:pos="638" w:val="left" w:leader="none"/>
          <w:tab w:pos="639" w:val="left" w:leader="none"/>
        </w:tabs>
        <w:spacing w:line="249" w:lineRule="auto" w:before="0" w:after="0"/>
        <w:ind w:left="638" w:right="403" w:hanging="511"/>
        <w:jc w:val="left"/>
        <w:rPr>
          <w:sz w:val="22"/>
        </w:rPr>
      </w:pPr>
      <w:r>
        <w:rPr>
          <w:color w:val="231F20"/>
          <w:sz w:val="22"/>
        </w:rPr>
        <w:t>Declare all conflicts of interest (whether actual, reasonably perceived or that could arise in future) as soon as</w:t>
      </w:r>
      <w:r>
        <w:rPr>
          <w:color w:val="231F20"/>
          <w:spacing w:val="-1"/>
          <w:sz w:val="22"/>
        </w:rPr>
        <w:t> </w:t>
      </w:r>
      <w:r>
        <w:rPr>
          <w:color w:val="231F20"/>
          <w:sz w:val="22"/>
        </w:rPr>
        <w:t>possible</w:t>
      </w:r>
    </w:p>
    <w:p>
      <w:pPr>
        <w:pStyle w:val="BodyText"/>
        <w:spacing w:before="3"/>
        <w:rPr>
          <w:sz w:val="23"/>
        </w:rPr>
      </w:pPr>
    </w:p>
    <w:p>
      <w:pPr>
        <w:pStyle w:val="ListParagraph"/>
        <w:numPr>
          <w:ilvl w:val="0"/>
          <w:numId w:val="2"/>
        </w:numPr>
        <w:tabs>
          <w:tab w:pos="638" w:val="left" w:leader="none"/>
          <w:tab w:pos="639" w:val="left" w:leader="none"/>
        </w:tabs>
        <w:spacing w:line="249" w:lineRule="auto" w:before="0" w:after="0"/>
        <w:ind w:left="638" w:right="573" w:hanging="511"/>
        <w:jc w:val="left"/>
        <w:rPr>
          <w:sz w:val="22"/>
        </w:rPr>
      </w:pPr>
      <w:r>
        <w:rPr>
          <w:color w:val="231F20"/>
          <w:sz w:val="22"/>
        </w:rPr>
        <w:t>Conduct business activities in a </w:t>
      </w:r>
      <w:r>
        <w:rPr>
          <w:color w:val="231F20"/>
          <w:spacing w:val="-2"/>
          <w:sz w:val="22"/>
        </w:rPr>
        <w:t>professional, </w:t>
      </w:r>
      <w:r>
        <w:rPr>
          <w:color w:val="231F20"/>
          <w:sz w:val="22"/>
        </w:rPr>
        <w:t>ethical, equitable and transparent</w:t>
      </w:r>
      <w:r>
        <w:rPr>
          <w:color w:val="231F20"/>
          <w:spacing w:val="-1"/>
          <w:sz w:val="22"/>
        </w:rPr>
        <w:t> </w:t>
      </w:r>
      <w:r>
        <w:rPr>
          <w:color w:val="231F20"/>
          <w:sz w:val="22"/>
        </w:rPr>
        <w:t>manner</w:t>
      </w:r>
    </w:p>
    <w:p>
      <w:pPr>
        <w:pStyle w:val="BodyText"/>
        <w:spacing w:before="1"/>
        <w:rPr>
          <w:sz w:val="23"/>
        </w:rPr>
      </w:pPr>
    </w:p>
    <w:p>
      <w:pPr>
        <w:pStyle w:val="ListParagraph"/>
        <w:numPr>
          <w:ilvl w:val="0"/>
          <w:numId w:val="2"/>
        </w:numPr>
        <w:tabs>
          <w:tab w:pos="638" w:val="left" w:leader="none"/>
          <w:tab w:pos="639" w:val="left" w:leader="none"/>
        </w:tabs>
        <w:spacing w:line="249" w:lineRule="auto" w:before="0" w:after="0"/>
        <w:ind w:left="638" w:right="646" w:hanging="511"/>
        <w:jc w:val="left"/>
        <w:rPr>
          <w:sz w:val="22"/>
        </w:rPr>
      </w:pPr>
      <w:r>
        <w:rPr>
          <w:color w:val="231F20"/>
          <w:sz w:val="22"/>
        </w:rPr>
        <w:t>Not engage in any form of corrupt behaviour including extortion, fraud or</w:t>
      </w:r>
      <w:r>
        <w:rPr>
          <w:color w:val="231F20"/>
          <w:spacing w:val="-1"/>
          <w:sz w:val="22"/>
        </w:rPr>
        <w:t> </w:t>
      </w:r>
      <w:r>
        <w:rPr>
          <w:color w:val="231F20"/>
          <w:sz w:val="22"/>
        </w:rPr>
        <w:t>bribery</w:t>
      </w:r>
    </w:p>
    <w:p>
      <w:pPr>
        <w:pStyle w:val="BodyText"/>
        <w:spacing w:before="1"/>
        <w:rPr>
          <w:sz w:val="23"/>
        </w:rPr>
      </w:pPr>
    </w:p>
    <w:p>
      <w:pPr>
        <w:pStyle w:val="ListParagraph"/>
        <w:numPr>
          <w:ilvl w:val="0"/>
          <w:numId w:val="2"/>
        </w:numPr>
        <w:tabs>
          <w:tab w:pos="638" w:val="left" w:leader="none"/>
          <w:tab w:pos="639" w:val="left" w:leader="none"/>
        </w:tabs>
        <w:spacing w:line="249" w:lineRule="auto" w:before="0" w:after="0"/>
        <w:ind w:left="638" w:right="450" w:hanging="511"/>
        <w:jc w:val="left"/>
        <w:rPr>
          <w:sz w:val="22"/>
        </w:rPr>
      </w:pPr>
      <w:r>
        <w:rPr>
          <w:color w:val="231F20"/>
          <w:sz w:val="22"/>
        </w:rPr>
        <w:t>Comply with data </w:t>
      </w:r>
      <w:r>
        <w:rPr>
          <w:color w:val="231F20"/>
          <w:spacing w:val="-3"/>
          <w:sz w:val="22"/>
        </w:rPr>
        <w:t>privacy, </w:t>
      </w:r>
      <w:r>
        <w:rPr>
          <w:color w:val="231F20"/>
          <w:sz w:val="22"/>
        </w:rPr>
        <w:t>confidentiality and regulatory requirements in relation to data </w:t>
      </w:r>
      <w:r>
        <w:rPr>
          <w:color w:val="231F20"/>
          <w:spacing w:val="-6"/>
          <w:sz w:val="22"/>
        </w:rPr>
        <w:t>and </w:t>
      </w:r>
      <w:r>
        <w:rPr>
          <w:color w:val="231F20"/>
          <w:sz w:val="22"/>
        </w:rPr>
        <w:t>information</w:t>
      </w:r>
    </w:p>
    <w:p>
      <w:pPr>
        <w:pStyle w:val="BodyText"/>
        <w:spacing w:before="2"/>
        <w:rPr>
          <w:sz w:val="23"/>
        </w:rPr>
      </w:pPr>
    </w:p>
    <w:p>
      <w:pPr>
        <w:pStyle w:val="ListParagraph"/>
        <w:numPr>
          <w:ilvl w:val="0"/>
          <w:numId w:val="2"/>
        </w:numPr>
        <w:tabs>
          <w:tab w:pos="638" w:val="left" w:leader="none"/>
          <w:tab w:pos="639" w:val="left" w:leader="none"/>
        </w:tabs>
        <w:spacing w:line="249" w:lineRule="auto" w:before="1" w:after="0"/>
        <w:ind w:left="638" w:right="731" w:hanging="511"/>
        <w:jc w:val="left"/>
        <w:rPr>
          <w:sz w:val="22"/>
        </w:rPr>
      </w:pPr>
      <w:r>
        <w:rPr>
          <w:color w:val="231F20"/>
          <w:sz w:val="22"/>
        </w:rPr>
        <w:t>Mitigate risks and safeguard people, </w:t>
      </w:r>
      <w:r>
        <w:rPr>
          <w:color w:val="231F20"/>
          <w:spacing w:val="-3"/>
          <w:sz w:val="22"/>
        </w:rPr>
        <w:t>brand, </w:t>
      </w:r>
      <w:r>
        <w:rPr>
          <w:color w:val="231F20"/>
          <w:sz w:val="22"/>
        </w:rPr>
        <w:t>reputation, assets, premises and</w:t>
      </w:r>
      <w:r>
        <w:rPr>
          <w:color w:val="231F20"/>
          <w:spacing w:val="-1"/>
          <w:sz w:val="22"/>
        </w:rPr>
        <w:t> </w:t>
      </w:r>
      <w:r>
        <w:rPr>
          <w:color w:val="231F20"/>
          <w:sz w:val="22"/>
        </w:rPr>
        <w:t>resources</w:t>
      </w:r>
    </w:p>
    <w:p>
      <w:pPr>
        <w:pStyle w:val="BodyText"/>
        <w:spacing w:before="1"/>
        <w:rPr>
          <w:sz w:val="23"/>
        </w:rPr>
      </w:pPr>
    </w:p>
    <w:p>
      <w:pPr>
        <w:pStyle w:val="ListParagraph"/>
        <w:numPr>
          <w:ilvl w:val="0"/>
          <w:numId w:val="2"/>
        </w:numPr>
        <w:tabs>
          <w:tab w:pos="638" w:val="left" w:leader="none"/>
          <w:tab w:pos="639" w:val="left" w:leader="none"/>
        </w:tabs>
        <w:spacing w:line="240" w:lineRule="auto" w:before="0" w:after="0"/>
        <w:ind w:left="638" w:right="0" w:hanging="511"/>
        <w:jc w:val="left"/>
        <w:rPr>
          <w:sz w:val="22"/>
        </w:rPr>
      </w:pPr>
      <w:r>
        <w:rPr>
          <w:color w:val="231F20"/>
          <w:sz w:val="22"/>
        </w:rPr>
        <w:t>Commit their suppliers and sub-contractors</w:t>
      </w:r>
      <w:r>
        <w:rPr>
          <w:color w:val="231F20"/>
          <w:spacing w:val="-1"/>
          <w:sz w:val="22"/>
        </w:rPr>
        <w:t> </w:t>
      </w:r>
      <w:r>
        <w:rPr>
          <w:color w:val="231F20"/>
          <w:sz w:val="22"/>
        </w:rPr>
        <w:t>to</w:t>
      </w:r>
    </w:p>
    <w:p>
      <w:pPr>
        <w:pStyle w:val="BodyText"/>
        <w:spacing w:before="11"/>
        <w:ind w:left="638"/>
      </w:pPr>
      <w:r>
        <w:rPr>
          <w:color w:val="231F20"/>
        </w:rPr>
        <w:t>operate with the same standards.</w:t>
      </w:r>
    </w:p>
    <w:p>
      <w:pPr>
        <w:spacing w:after="0"/>
        <w:sectPr>
          <w:type w:val="continuous"/>
          <w:pgSz w:w="11910" w:h="16840"/>
          <w:pgMar w:top="1580" w:bottom="0" w:left="580" w:right="360"/>
          <w:cols w:num="2" w:equalWidth="0">
            <w:col w:w="5277" w:space="98"/>
            <w:col w:w="5595"/>
          </w:cols>
        </w:sectPr>
      </w:pPr>
    </w:p>
    <w:p>
      <w:pPr>
        <w:pStyle w:val="BodyText"/>
        <w:rPr>
          <w:sz w:val="20"/>
        </w:rPr>
      </w:pPr>
      <w:r>
        <w:rPr/>
        <w:pict>
          <v:group style="position:absolute;margin-left:0pt;margin-top:414.331024pt;width:595.3pt;height:427.6pt;mso-position-horizontal-relative:page;mso-position-vertical-relative:page;z-index:-15928832" coordorigin="0,8287" coordsize="11906,8552">
            <v:shape style="position:absolute;left:0;top:8286;width:11906;height:8552" type="#_x0000_t75" stroked="false">
              <v:imagedata r:id="rId10" o:title=""/>
            </v:shape>
            <v:line style="position:absolute" from="709,15848" to="11197,15867" stroked="true" strokeweight=".5pt" strokecolor="#231f20">
              <v:stroke dashstyle="solid"/>
            </v:line>
            <w10:wrap type="none"/>
          </v:group>
        </w:pict>
      </w:r>
      <w:r>
        <w:rPr/>
        <w:drawing>
          <wp:anchor distT="0" distB="0" distL="0" distR="0" allowOverlap="1" layoutInCell="1" locked="0" behindDoc="0" simplePos="0" relativeHeight="15730176">
            <wp:simplePos x="0" y="0"/>
            <wp:positionH relativeFrom="page">
              <wp:posOffset>3976899</wp:posOffset>
            </wp:positionH>
            <wp:positionV relativeFrom="page">
              <wp:posOffset>1053004</wp:posOffset>
            </wp:positionV>
            <wp:extent cx="504000" cy="504000"/>
            <wp:effectExtent l="0" t="0" r="0" b="0"/>
            <wp:wrapNone/>
            <wp:docPr id="5" name="image8.png"/>
            <wp:cNvGraphicFramePr>
              <a:graphicFrameLocks noChangeAspect="1"/>
            </wp:cNvGraphicFramePr>
            <a:graphic>
              <a:graphicData uri="http://schemas.openxmlformats.org/drawingml/2006/picture">
                <pic:pic>
                  <pic:nvPicPr>
                    <pic:cNvPr id="6" name="image8.png"/>
                    <pic:cNvPicPr/>
                  </pic:nvPicPr>
                  <pic:blipFill>
                    <a:blip r:embed="rId11" cstate="print"/>
                    <a:stretch>
                      <a:fillRect/>
                    </a:stretch>
                  </pic:blipFill>
                  <pic:spPr>
                    <a:xfrm>
                      <a:off x="0" y="0"/>
                      <a:ext cx="504000" cy="5040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spacing w:line="206" w:lineRule="exact" w:before="94"/>
        <w:ind w:left="128" w:right="0" w:firstLine="0"/>
        <w:jc w:val="left"/>
        <w:rPr>
          <w:sz w:val="18"/>
        </w:rPr>
      </w:pPr>
      <w:r>
        <w:rPr>
          <w:color w:val="231F20"/>
          <w:sz w:val="18"/>
        </w:rPr>
        <w:t>Supplier Code of Conduct</w:t>
      </w:r>
    </w:p>
    <w:p>
      <w:pPr>
        <w:tabs>
          <w:tab w:pos="9747" w:val="left" w:leader="none"/>
        </w:tabs>
        <w:spacing w:line="216" w:lineRule="exact" w:before="0"/>
        <w:ind w:left="128" w:right="0" w:firstLine="0"/>
        <w:jc w:val="left"/>
        <w:rPr>
          <w:sz w:val="18"/>
        </w:rPr>
      </w:pPr>
      <w:r>
        <w:rPr>
          <w:color w:val="231F20"/>
          <w:sz w:val="18"/>
        </w:rPr>
        <w:t>Queensland Rail Limited ACN (132</w:t>
      </w:r>
      <w:r>
        <w:rPr>
          <w:color w:val="231F20"/>
          <w:spacing w:val="-11"/>
          <w:sz w:val="18"/>
        </w:rPr>
        <w:t> </w:t>
      </w:r>
      <w:r>
        <w:rPr>
          <w:color w:val="231F20"/>
          <w:sz w:val="18"/>
        </w:rPr>
        <w:t>181</w:t>
      </w:r>
      <w:r>
        <w:rPr>
          <w:color w:val="231F20"/>
          <w:spacing w:val="-3"/>
          <w:sz w:val="18"/>
        </w:rPr>
        <w:t> </w:t>
      </w:r>
      <w:r>
        <w:rPr>
          <w:color w:val="231F20"/>
          <w:sz w:val="18"/>
        </w:rPr>
        <w:t>090)</w:t>
        <w:tab/>
      </w:r>
      <w:r>
        <w:rPr>
          <w:color w:val="231F20"/>
          <w:position w:val="1"/>
          <w:sz w:val="18"/>
        </w:rPr>
        <w:t>October</w:t>
      </w:r>
      <w:r>
        <w:rPr>
          <w:color w:val="231F20"/>
          <w:spacing w:val="-1"/>
          <w:position w:val="1"/>
          <w:sz w:val="18"/>
        </w:rPr>
        <w:t> </w:t>
      </w:r>
      <w:r>
        <w:rPr>
          <w:color w:val="231F20"/>
          <w:position w:val="1"/>
          <w:sz w:val="18"/>
        </w:rPr>
        <w:t>2020</w:t>
      </w:r>
    </w:p>
    <w:p>
      <w:pPr>
        <w:spacing w:after="0" w:line="216" w:lineRule="exact"/>
        <w:jc w:val="left"/>
        <w:rPr>
          <w:sz w:val="18"/>
        </w:rPr>
        <w:sectPr>
          <w:type w:val="continuous"/>
          <w:pgSz w:w="11910" w:h="16840"/>
          <w:pgMar w:top="1580" w:bottom="0" w:left="580" w:right="360"/>
        </w:sectPr>
      </w:pPr>
    </w:p>
    <w:p>
      <w:pPr>
        <w:pStyle w:val="Heading1"/>
        <w:tabs>
          <w:tab w:pos="6646" w:val="left" w:leader="none"/>
        </w:tabs>
        <w:spacing w:before="24"/>
        <w:ind w:left="1262"/>
      </w:pPr>
      <w:r>
        <w:rPr>
          <w:color w:val="DD0000"/>
        </w:rPr>
        <w:t>Human Rights</w:t>
        <w:tab/>
        <w:t>Social Responsibilities</w:t>
      </w:r>
    </w:p>
    <w:p>
      <w:pPr>
        <w:pStyle w:val="BodyText"/>
        <w:spacing w:before="10"/>
        <w:rPr>
          <w:b/>
          <w:sz w:val="28"/>
        </w:rPr>
      </w:pPr>
    </w:p>
    <w:p>
      <w:pPr>
        <w:spacing w:after="0"/>
        <w:rPr>
          <w:sz w:val="28"/>
        </w:rPr>
        <w:sectPr>
          <w:headerReference w:type="default" r:id="rId12"/>
          <w:pgSz w:w="11910" w:h="16840"/>
          <w:pgMar w:header="621" w:footer="0" w:top="2000" w:bottom="0" w:left="580" w:right="360"/>
        </w:sectPr>
      </w:pPr>
    </w:p>
    <w:p>
      <w:pPr>
        <w:pStyle w:val="BodyText"/>
        <w:spacing w:line="249" w:lineRule="auto" w:before="93"/>
        <w:ind w:left="128" w:right="21"/>
      </w:pPr>
      <w:r>
        <w:rPr/>
        <w:pict>
          <v:group style="position:absolute;margin-left:0pt;margin-top:435.85202pt;width:595.3pt;height:406.05pt;mso-position-horizontal-relative:page;mso-position-vertical-relative:page;z-index:-15927808" coordorigin="0,8717" coordsize="11906,8121">
            <v:shape style="position:absolute;left:0;top:8786;width:11906;height:8052" type="#_x0000_t75" stroked="false">
              <v:imagedata r:id="rId13" o:title=""/>
            </v:shape>
            <v:line style="position:absolute" from="709,15848" to="11197,15867" stroked="true" strokeweight=".5pt" strokecolor="#231f20">
              <v:stroke dashstyle="solid"/>
            </v:line>
            <v:shape style="position:absolute;left:708;top:8717;width:97;height:246" type="#_x0000_t202" filled="false" stroked="false">
              <v:textbox inset="0,0,0,0">
                <w:txbxContent>
                  <w:p>
                    <w:pPr>
                      <w:spacing w:line="246" w:lineRule="exact" w:before="0"/>
                      <w:ind w:left="0" w:right="0" w:firstLine="0"/>
                      <w:jc w:val="left"/>
                      <w:rPr>
                        <w:sz w:val="22"/>
                      </w:rPr>
                    </w:pPr>
                    <w:r>
                      <w:rPr>
                        <w:color w:val="231F20"/>
                        <w:w w:val="99"/>
                        <w:sz w:val="22"/>
                      </w:rPr>
                      <w:t>•</w:t>
                    </w:r>
                  </w:p>
                </w:txbxContent>
              </v:textbox>
              <w10:wrap type="none"/>
            </v:shape>
            <v:shape style="position:absolute;left:1218;top:8717;width:4521;height:1038" type="#_x0000_t202" filled="false" stroked="false">
              <v:textbox inset="0,0,0,0">
                <w:txbxContent>
                  <w:p>
                    <w:pPr>
                      <w:spacing w:line="249" w:lineRule="auto" w:before="0"/>
                      <w:ind w:left="0" w:right="18" w:firstLine="0"/>
                      <w:jc w:val="left"/>
                      <w:rPr>
                        <w:sz w:val="22"/>
                      </w:rPr>
                    </w:pPr>
                    <w:r>
                      <w:rPr>
                        <w:color w:val="231F20"/>
                        <w:sz w:val="22"/>
                      </w:rPr>
                      <w:t>Provide an equal opportunity workplace that is non-discriminatory, diverse, inclusive and respectful, and free from harassment and abuse</w:t>
                    </w:r>
                  </w:p>
                </w:txbxContent>
              </v:textbox>
              <w10:wrap type="none"/>
            </v:shape>
            <v:shape style="position:absolute;left:708;top:10037;width:97;height:246" type="#_x0000_t202" filled="false" stroked="false">
              <v:textbox inset="0,0,0,0">
                <w:txbxContent>
                  <w:p>
                    <w:pPr>
                      <w:spacing w:line="246" w:lineRule="exact" w:before="0"/>
                      <w:ind w:left="0" w:right="0" w:firstLine="0"/>
                      <w:jc w:val="left"/>
                      <w:rPr>
                        <w:sz w:val="22"/>
                      </w:rPr>
                    </w:pPr>
                    <w:r>
                      <w:rPr>
                        <w:color w:val="231F20"/>
                        <w:w w:val="99"/>
                        <w:sz w:val="22"/>
                      </w:rPr>
                      <w:t>•</w:t>
                    </w:r>
                  </w:p>
                </w:txbxContent>
              </v:textbox>
              <w10:wrap type="none"/>
            </v:shape>
            <v:shape style="position:absolute;left:1218;top:10037;width:4058;height:774" type="#_x0000_t202" filled="false" stroked="false">
              <v:textbox inset="0,0,0,0">
                <w:txbxContent>
                  <w:p>
                    <w:pPr>
                      <w:spacing w:line="249" w:lineRule="auto" w:before="0"/>
                      <w:ind w:left="0" w:right="18" w:firstLine="0"/>
                      <w:jc w:val="both"/>
                      <w:rPr>
                        <w:sz w:val="22"/>
                      </w:rPr>
                    </w:pPr>
                    <w:r>
                      <w:rPr>
                        <w:color w:val="231F20"/>
                        <w:sz w:val="22"/>
                      </w:rPr>
                      <w:t>Respect all workers’ workplace rights</w:t>
                    </w:r>
                    <w:r>
                      <w:rPr>
                        <w:color w:val="231F20"/>
                        <w:spacing w:val="-35"/>
                        <w:sz w:val="22"/>
                      </w:rPr>
                      <w:t> </w:t>
                    </w:r>
                    <w:r>
                      <w:rPr>
                        <w:color w:val="231F20"/>
                        <w:sz w:val="22"/>
                      </w:rPr>
                      <w:t>and entitlements, and comply with all relevant workplace laws and</w:t>
                    </w:r>
                    <w:r>
                      <w:rPr>
                        <w:color w:val="231F20"/>
                        <w:spacing w:val="-5"/>
                        <w:sz w:val="22"/>
                      </w:rPr>
                      <w:t> </w:t>
                    </w:r>
                    <w:r>
                      <w:rPr>
                        <w:color w:val="231F20"/>
                        <w:sz w:val="22"/>
                      </w:rPr>
                      <w:t>regulations</w:t>
                    </w:r>
                  </w:p>
                </w:txbxContent>
              </v:textbox>
              <w10:wrap type="none"/>
            </v:shape>
            <v:shape style="position:absolute;left:708;top:11093;width:97;height:246" type="#_x0000_t202" filled="false" stroked="false">
              <v:textbox inset="0,0,0,0">
                <w:txbxContent>
                  <w:p>
                    <w:pPr>
                      <w:spacing w:line="246" w:lineRule="exact" w:before="0"/>
                      <w:ind w:left="0" w:right="0" w:firstLine="0"/>
                      <w:jc w:val="left"/>
                      <w:rPr>
                        <w:sz w:val="22"/>
                      </w:rPr>
                    </w:pPr>
                    <w:r>
                      <w:rPr>
                        <w:color w:val="231F20"/>
                        <w:w w:val="99"/>
                        <w:sz w:val="22"/>
                      </w:rPr>
                      <w:t>•</w:t>
                    </w:r>
                  </w:p>
                </w:txbxContent>
              </v:textbox>
              <w10:wrap type="none"/>
            </v:shape>
            <v:shape style="position:absolute;left:1218;top:11093;width:4116;height:774" type="#_x0000_t202" filled="false" stroked="false">
              <v:textbox inset="0,0,0,0">
                <w:txbxContent>
                  <w:p>
                    <w:pPr>
                      <w:spacing w:line="249" w:lineRule="auto" w:before="0"/>
                      <w:ind w:left="0" w:right="-1" w:firstLine="0"/>
                      <w:jc w:val="left"/>
                      <w:rPr>
                        <w:sz w:val="22"/>
                      </w:rPr>
                    </w:pPr>
                    <w:r>
                      <w:rPr>
                        <w:color w:val="231F20"/>
                        <w:sz w:val="22"/>
                      </w:rPr>
                      <w:t>Provide fair pay for employees, including meeting minimum wage requirements and compensation</w:t>
                    </w:r>
                  </w:p>
                </w:txbxContent>
              </v:textbox>
              <w10:wrap type="none"/>
            </v:shape>
            <v:shape style="position:absolute;left:708;top:12149;width:97;height:246" type="#_x0000_t202" filled="false" stroked="false">
              <v:textbox inset="0,0,0,0">
                <w:txbxContent>
                  <w:p>
                    <w:pPr>
                      <w:spacing w:line="246" w:lineRule="exact" w:before="0"/>
                      <w:ind w:left="0" w:right="0" w:firstLine="0"/>
                      <w:jc w:val="left"/>
                      <w:rPr>
                        <w:sz w:val="22"/>
                      </w:rPr>
                    </w:pPr>
                    <w:r>
                      <w:rPr>
                        <w:color w:val="231F20"/>
                        <w:w w:val="99"/>
                        <w:sz w:val="22"/>
                      </w:rPr>
                      <w:t>•</w:t>
                    </w:r>
                  </w:p>
                </w:txbxContent>
              </v:textbox>
              <w10:wrap type="none"/>
            </v:shape>
            <v:shape style="position:absolute;left:1218;top:12149;width:4569;height:1062" type="#_x0000_t202" filled="false" stroked="false">
              <v:textbox inset="0,0,0,0">
                <w:txbxContent>
                  <w:p>
                    <w:pPr>
                      <w:spacing w:line="259" w:lineRule="auto" w:before="0"/>
                      <w:ind w:left="0" w:right="-1" w:firstLine="0"/>
                      <w:jc w:val="left"/>
                      <w:rPr>
                        <w:sz w:val="22"/>
                      </w:rPr>
                    </w:pPr>
                    <w:r>
                      <w:rPr>
                        <w:color w:val="231F20"/>
                        <w:sz w:val="22"/>
                      </w:rPr>
                      <w:t>Comply with all applicable laws related to wages, employment conditions, working hours and legally mandated benefits in relation to the country in which they operate</w:t>
                    </w:r>
                  </w:p>
                </w:txbxContent>
              </v:textbox>
              <w10:wrap type="none"/>
            </v:shape>
            <v:shape style="position:absolute;left:708;top:13477;width:97;height:246" type="#_x0000_t202" filled="false" stroked="false">
              <v:textbox inset="0,0,0,0">
                <w:txbxContent>
                  <w:p>
                    <w:pPr>
                      <w:spacing w:line="246" w:lineRule="exact" w:before="0"/>
                      <w:ind w:left="0" w:right="0" w:firstLine="0"/>
                      <w:jc w:val="left"/>
                      <w:rPr>
                        <w:sz w:val="22"/>
                      </w:rPr>
                    </w:pPr>
                    <w:r>
                      <w:rPr>
                        <w:color w:val="231F20"/>
                        <w:w w:val="99"/>
                        <w:sz w:val="22"/>
                      </w:rPr>
                      <w:t>•</w:t>
                    </w:r>
                  </w:p>
                </w:txbxContent>
              </v:textbox>
              <w10:wrap type="none"/>
            </v:shape>
            <v:shape style="position:absolute;left:1218;top:13477;width:4459;height:518" type="#_x0000_t202" filled="false" stroked="false">
              <v:textbox inset="0,0,0,0">
                <w:txbxContent>
                  <w:p>
                    <w:pPr>
                      <w:spacing w:line="259" w:lineRule="auto" w:before="0"/>
                      <w:ind w:left="0" w:right="0" w:firstLine="0"/>
                      <w:jc w:val="left"/>
                      <w:rPr>
                        <w:sz w:val="22"/>
                      </w:rPr>
                    </w:pPr>
                    <w:r>
                      <w:rPr>
                        <w:color w:val="231F20"/>
                        <w:sz w:val="22"/>
                      </w:rPr>
                      <w:t>Commit their suppliers and sub-contractors to operate with the same standards.</w:t>
                    </w:r>
                  </w:p>
                </w:txbxContent>
              </v:textbox>
              <w10:wrap type="none"/>
            </v:shape>
            <v:shape style="position:absolute;left:708;top:16117;width:3582;height:418" type="#_x0000_t202" filled="false" stroked="false">
              <v:textbox inset="0,0,0,0">
                <w:txbxContent>
                  <w:p>
                    <w:pPr>
                      <w:spacing w:line="201" w:lineRule="exact" w:before="0"/>
                      <w:ind w:left="0" w:right="0" w:firstLine="0"/>
                      <w:jc w:val="left"/>
                      <w:rPr>
                        <w:sz w:val="18"/>
                      </w:rPr>
                    </w:pPr>
                    <w:r>
                      <w:rPr>
                        <w:color w:val="231F20"/>
                        <w:sz w:val="18"/>
                      </w:rPr>
                      <w:t>Supplier Code of Conduct</w:t>
                    </w:r>
                  </w:p>
                  <w:p>
                    <w:pPr>
                      <w:spacing w:before="9"/>
                      <w:ind w:left="0" w:right="0" w:firstLine="0"/>
                      <w:jc w:val="left"/>
                      <w:rPr>
                        <w:sz w:val="18"/>
                      </w:rPr>
                    </w:pPr>
                    <w:r>
                      <w:rPr>
                        <w:color w:val="231F20"/>
                        <w:sz w:val="18"/>
                      </w:rPr>
                      <w:t>Queensland Rail Limited ACN (132 181 090)</w:t>
                    </w:r>
                  </w:p>
                </w:txbxContent>
              </v:textbox>
              <w10:wrap type="none"/>
            </v:shape>
            <v:shape style="position:absolute;left:10327;top:16326;width:1112;height:202" type="#_x0000_t202" filled="false" stroked="false">
              <v:textbox inset="0,0,0,0">
                <w:txbxContent>
                  <w:p>
                    <w:pPr>
                      <w:spacing w:line="201" w:lineRule="exact" w:before="0"/>
                      <w:ind w:left="0" w:right="0" w:firstLine="0"/>
                      <w:jc w:val="left"/>
                      <w:rPr>
                        <w:sz w:val="18"/>
                      </w:rPr>
                    </w:pPr>
                    <w:r>
                      <w:rPr>
                        <w:color w:val="231F20"/>
                        <w:sz w:val="18"/>
                      </w:rPr>
                      <w:t>October 2020</w:t>
                    </w:r>
                  </w:p>
                </w:txbxContent>
              </v:textbox>
              <w10:wrap type="none"/>
            </v:shape>
            <w10:wrap type="none"/>
          </v:group>
        </w:pict>
      </w:r>
      <w:r>
        <w:rPr/>
        <w:drawing>
          <wp:anchor distT="0" distB="0" distL="0" distR="0" allowOverlap="1" layoutInCell="1" locked="0" behindDoc="0" simplePos="0" relativeHeight="15731200">
            <wp:simplePos x="0" y="0"/>
            <wp:positionH relativeFrom="page">
              <wp:posOffset>557999</wp:posOffset>
            </wp:positionH>
            <wp:positionV relativeFrom="page">
              <wp:posOffset>1053004</wp:posOffset>
            </wp:positionV>
            <wp:extent cx="504000" cy="504000"/>
            <wp:effectExtent l="0" t="0" r="0" b="0"/>
            <wp:wrapNone/>
            <wp:docPr id="7" name="image10.png"/>
            <wp:cNvGraphicFramePr>
              <a:graphicFrameLocks noChangeAspect="1"/>
            </wp:cNvGraphicFramePr>
            <a:graphic>
              <a:graphicData uri="http://schemas.openxmlformats.org/drawingml/2006/picture">
                <pic:pic>
                  <pic:nvPicPr>
                    <pic:cNvPr id="8" name="image10.png"/>
                    <pic:cNvPicPr/>
                  </pic:nvPicPr>
                  <pic:blipFill>
                    <a:blip r:embed="rId14" cstate="print"/>
                    <a:stretch>
                      <a:fillRect/>
                    </a:stretch>
                  </pic:blipFill>
                  <pic:spPr>
                    <a:xfrm>
                      <a:off x="0" y="0"/>
                      <a:ext cx="504000" cy="504000"/>
                    </a:xfrm>
                    <a:prstGeom prst="rect">
                      <a:avLst/>
                    </a:prstGeom>
                  </pic:spPr>
                </pic:pic>
              </a:graphicData>
            </a:graphic>
          </wp:anchor>
        </w:drawing>
      </w:r>
      <w:r>
        <w:rPr/>
        <w:drawing>
          <wp:anchor distT="0" distB="0" distL="0" distR="0" allowOverlap="1" layoutInCell="1" locked="0" behindDoc="1" simplePos="0" relativeHeight="487389696">
            <wp:simplePos x="0" y="0"/>
            <wp:positionH relativeFrom="page">
              <wp:posOffset>3976899</wp:posOffset>
            </wp:positionH>
            <wp:positionV relativeFrom="page">
              <wp:posOffset>1053008</wp:posOffset>
            </wp:positionV>
            <wp:extent cx="503999" cy="499689"/>
            <wp:effectExtent l="0" t="0" r="0" b="0"/>
            <wp:wrapNone/>
            <wp:docPr id="9" name="image11.png"/>
            <wp:cNvGraphicFramePr>
              <a:graphicFrameLocks noChangeAspect="1"/>
            </wp:cNvGraphicFramePr>
            <a:graphic>
              <a:graphicData uri="http://schemas.openxmlformats.org/drawingml/2006/picture">
                <pic:pic>
                  <pic:nvPicPr>
                    <pic:cNvPr id="10" name="image11.png"/>
                    <pic:cNvPicPr/>
                  </pic:nvPicPr>
                  <pic:blipFill>
                    <a:blip r:embed="rId15" cstate="print"/>
                    <a:stretch>
                      <a:fillRect/>
                    </a:stretch>
                  </pic:blipFill>
                  <pic:spPr>
                    <a:xfrm>
                      <a:off x="0" y="0"/>
                      <a:ext cx="503999" cy="499689"/>
                    </a:xfrm>
                    <a:prstGeom prst="rect">
                      <a:avLst/>
                    </a:prstGeom>
                  </pic:spPr>
                </pic:pic>
              </a:graphicData>
            </a:graphic>
          </wp:anchor>
        </w:drawing>
      </w:r>
      <w:r>
        <w:rPr>
          <w:color w:val="231F20"/>
        </w:rPr>
        <w:t>Queensland Rail is committed to ensuring human rights abuses, such as modern slavery do not occur in our supply chains.</w:t>
      </w:r>
    </w:p>
    <w:p>
      <w:pPr>
        <w:pStyle w:val="BodyText"/>
        <w:spacing w:before="2"/>
        <w:rPr>
          <w:sz w:val="23"/>
        </w:rPr>
      </w:pPr>
    </w:p>
    <w:p>
      <w:pPr>
        <w:pStyle w:val="BodyText"/>
        <w:ind w:left="128"/>
      </w:pPr>
      <w:r>
        <w:rPr>
          <w:color w:val="231F20"/>
        </w:rPr>
        <w:t>We expect suppliers will:</w:t>
      </w:r>
    </w:p>
    <w:p>
      <w:pPr>
        <w:pStyle w:val="BodyText"/>
        <w:spacing w:before="11"/>
        <w:rPr>
          <w:sz w:val="23"/>
        </w:rPr>
      </w:pPr>
    </w:p>
    <w:p>
      <w:pPr>
        <w:pStyle w:val="ListParagraph"/>
        <w:numPr>
          <w:ilvl w:val="0"/>
          <w:numId w:val="2"/>
        </w:numPr>
        <w:tabs>
          <w:tab w:pos="639" w:val="left" w:leader="none"/>
        </w:tabs>
        <w:spacing w:line="249" w:lineRule="auto" w:before="0" w:after="0"/>
        <w:ind w:left="638" w:right="689" w:hanging="511"/>
        <w:jc w:val="both"/>
        <w:rPr>
          <w:sz w:val="22"/>
        </w:rPr>
      </w:pPr>
      <w:r>
        <w:rPr>
          <w:color w:val="231F20"/>
          <w:sz w:val="22"/>
        </w:rPr>
        <w:t>Conduct their activities in a manner </w:t>
      </w:r>
      <w:r>
        <w:rPr>
          <w:color w:val="231F20"/>
          <w:spacing w:val="-4"/>
          <w:sz w:val="22"/>
        </w:rPr>
        <w:t>that </w:t>
      </w:r>
      <w:r>
        <w:rPr>
          <w:color w:val="231F20"/>
          <w:sz w:val="22"/>
        </w:rPr>
        <w:t>respects human rights, as set out in the Queensland Human Rights</w:t>
      </w:r>
      <w:r>
        <w:rPr>
          <w:color w:val="231F20"/>
          <w:spacing w:val="-13"/>
          <w:sz w:val="22"/>
        </w:rPr>
        <w:t> </w:t>
      </w:r>
      <w:r>
        <w:rPr>
          <w:color w:val="231F20"/>
          <w:sz w:val="22"/>
        </w:rPr>
        <w:t>Act</w:t>
      </w:r>
    </w:p>
    <w:p>
      <w:pPr>
        <w:pStyle w:val="BodyText"/>
        <w:spacing w:before="2"/>
        <w:rPr>
          <w:sz w:val="23"/>
        </w:rPr>
      </w:pPr>
    </w:p>
    <w:p>
      <w:pPr>
        <w:pStyle w:val="ListParagraph"/>
        <w:numPr>
          <w:ilvl w:val="0"/>
          <w:numId w:val="2"/>
        </w:numPr>
        <w:tabs>
          <w:tab w:pos="638" w:val="left" w:leader="none"/>
          <w:tab w:pos="639" w:val="left" w:leader="none"/>
        </w:tabs>
        <w:spacing w:line="249" w:lineRule="auto" w:before="0" w:after="0"/>
        <w:ind w:left="638" w:right="151" w:hanging="511"/>
        <w:jc w:val="left"/>
        <w:rPr>
          <w:sz w:val="22"/>
        </w:rPr>
      </w:pPr>
      <w:r>
        <w:rPr>
          <w:color w:val="231F20"/>
          <w:sz w:val="22"/>
        </w:rPr>
        <w:t>Not use forced, bonded, involuntary labour </w:t>
      </w:r>
      <w:r>
        <w:rPr>
          <w:color w:val="231F20"/>
          <w:spacing w:val="-9"/>
          <w:sz w:val="22"/>
        </w:rPr>
        <w:t>or </w:t>
      </w:r>
      <w:r>
        <w:rPr>
          <w:color w:val="231F20"/>
          <w:sz w:val="22"/>
        </w:rPr>
        <w:t>child labour</w:t>
      </w:r>
    </w:p>
    <w:p>
      <w:pPr>
        <w:pStyle w:val="BodyText"/>
        <w:spacing w:before="1"/>
        <w:rPr>
          <w:sz w:val="23"/>
        </w:rPr>
      </w:pPr>
    </w:p>
    <w:p>
      <w:pPr>
        <w:pStyle w:val="ListParagraph"/>
        <w:numPr>
          <w:ilvl w:val="0"/>
          <w:numId w:val="2"/>
        </w:numPr>
        <w:tabs>
          <w:tab w:pos="639" w:val="left" w:leader="none"/>
        </w:tabs>
        <w:spacing w:line="249" w:lineRule="auto" w:before="0" w:after="0"/>
        <w:ind w:left="638" w:right="285" w:hanging="511"/>
        <w:jc w:val="both"/>
        <w:rPr>
          <w:sz w:val="22"/>
        </w:rPr>
      </w:pPr>
      <w:r>
        <w:rPr>
          <w:color w:val="231F20"/>
          <w:sz w:val="22"/>
        </w:rPr>
        <w:t>Declare in a timely manner to us any known risks that may exist within their supply chain that may contribute to Modern</w:t>
      </w:r>
      <w:r>
        <w:rPr>
          <w:color w:val="231F20"/>
          <w:spacing w:val="-1"/>
          <w:sz w:val="22"/>
        </w:rPr>
        <w:t> </w:t>
      </w:r>
      <w:r>
        <w:rPr>
          <w:color w:val="231F20"/>
          <w:sz w:val="22"/>
        </w:rPr>
        <w:t>Slavery</w:t>
      </w:r>
    </w:p>
    <w:p>
      <w:pPr>
        <w:pStyle w:val="BodyText"/>
        <w:spacing w:before="2"/>
        <w:rPr>
          <w:sz w:val="23"/>
        </w:rPr>
      </w:pPr>
    </w:p>
    <w:p>
      <w:pPr>
        <w:pStyle w:val="ListParagraph"/>
        <w:numPr>
          <w:ilvl w:val="0"/>
          <w:numId w:val="2"/>
        </w:numPr>
        <w:tabs>
          <w:tab w:pos="638" w:val="left" w:leader="none"/>
          <w:tab w:pos="639" w:val="left" w:leader="none"/>
        </w:tabs>
        <w:spacing w:line="249" w:lineRule="auto" w:before="1" w:after="0"/>
        <w:ind w:left="638" w:right="76" w:hanging="511"/>
        <w:jc w:val="left"/>
        <w:rPr>
          <w:sz w:val="22"/>
        </w:rPr>
      </w:pPr>
      <w:r>
        <w:rPr>
          <w:color w:val="231F20"/>
          <w:sz w:val="22"/>
        </w:rPr>
        <w:t>Have an avenue in place in which anyone can report concerns about illegal, unethical or improper conduct associated with the supplier’s business</w:t>
      </w:r>
    </w:p>
    <w:p>
      <w:pPr>
        <w:pStyle w:val="BodyText"/>
        <w:spacing w:line="249" w:lineRule="auto" w:before="93"/>
        <w:ind w:left="128" w:right="485"/>
      </w:pPr>
      <w:r>
        <w:rPr/>
        <w:br w:type="column"/>
      </w:r>
      <w:r>
        <w:rPr>
          <w:color w:val="231F20"/>
        </w:rPr>
        <w:t>Queensland Rail is committed to doing business with suppliers who support the welfare of both their employees and the community.</w:t>
      </w:r>
    </w:p>
    <w:p>
      <w:pPr>
        <w:pStyle w:val="BodyText"/>
        <w:spacing w:before="2"/>
        <w:rPr>
          <w:sz w:val="23"/>
        </w:rPr>
      </w:pPr>
    </w:p>
    <w:p>
      <w:pPr>
        <w:pStyle w:val="BodyText"/>
        <w:ind w:left="128"/>
      </w:pPr>
      <w:r>
        <w:rPr>
          <w:color w:val="231F20"/>
        </w:rPr>
        <w:t>We expect suppliers will:</w:t>
      </w:r>
    </w:p>
    <w:p>
      <w:pPr>
        <w:pStyle w:val="BodyText"/>
        <w:spacing w:before="11"/>
        <w:rPr>
          <w:sz w:val="23"/>
        </w:rPr>
      </w:pPr>
    </w:p>
    <w:p>
      <w:pPr>
        <w:pStyle w:val="ListParagraph"/>
        <w:numPr>
          <w:ilvl w:val="0"/>
          <w:numId w:val="2"/>
        </w:numPr>
        <w:tabs>
          <w:tab w:pos="638" w:val="left" w:leader="none"/>
          <w:tab w:pos="639" w:val="left" w:leader="none"/>
        </w:tabs>
        <w:spacing w:line="249" w:lineRule="auto" w:before="0" w:after="0"/>
        <w:ind w:left="638" w:right="513" w:hanging="511"/>
        <w:jc w:val="left"/>
        <w:rPr>
          <w:sz w:val="22"/>
        </w:rPr>
      </w:pPr>
      <w:r>
        <w:rPr>
          <w:color w:val="231F20"/>
          <w:sz w:val="22"/>
        </w:rPr>
        <w:t>Be aware of cultural heritage and traditions of Indigenous communities and that all matters be handled</w:t>
      </w:r>
      <w:r>
        <w:rPr>
          <w:color w:val="231F20"/>
          <w:spacing w:val="-1"/>
          <w:sz w:val="22"/>
        </w:rPr>
        <w:t> </w:t>
      </w:r>
      <w:r>
        <w:rPr>
          <w:color w:val="231F20"/>
          <w:sz w:val="22"/>
        </w:rPr>
        <w:t>respectfully</w:t>
      </w:r>
    </w:p>
    <w:p>
      <w:pPr>
        <w:pStyle w:val="BodyText"/>
        <w:spacing w:before="2"/>
        <w:rPr>
          <w:sz w:val="23"/>
        </w:rPr>
      </w:pPr>
    </w:p>
    <w:p>
      <w:pPr>
        <w:pStyle w:val="ListParagraph"/>
        <w:numPr>
          <w:ilvl w:val="0"/>
          <w:numId w:val="2"/>
        </w:numPr>
        <w:tabs>
          <w:tab w:pos="638" w:val="left" w:leader="none"/>
          <w:tab w:pos="639" w:val="left" w:leader="none"/>
        </w:tabs>
        <w:spacing w:line="240" w:lineRule="auto" w:before="0" w:after="0"/>
        <w:ind w:left="638" w:right="0" w:hanging="511"/>
        <w:jc w:val="left"/>
        <w:rPr>
          <w:sz w:val="22"/>
        </w:rPr>
      </w:pPr>
      <w:r>
        <w:rPr>
          <w:color w:val="231F20"/>
          <w:sz w:val="22"/>
        </w:rPr>
        <w:t>Promote work practices that</w:t>
      </w:r>
      <w:r>
        <w:rPr>
          <w:color w:val="231F20"/>
          <w:spacing w:val="-4"/>
          <w:sz w:val="22"/>
        </w:rPr>
        <w:t> </w:t>
      </w:r>
      <w:r>
        <w:rPr>
          <w:color w:val="231F20"/>
          <w:sz w:val="22"/>
        </w:rPr>
        <w:t>create</w:t>
      </w:r>
    </w:p>
    <w:p>
      <w:pPr>
        <w:pStyle w:val="BodyText"/>
        <w:spacing w:before="11"/>
        <w:ind w:left="638"/>
      </w:pPr>
      <w:r>
        <w:rPr>
          <w:color w:val="231F20"/>
        </w:rPr>
        <w:t>opportunities for inclusion and diversity</w:t>
      </w:r>
    </w:p>
    <w:p>
      <w:pPr>
        <w:pStyle w:val="BodyText"/>
        <w:spacing w:before="10"/>
        <w:rPr>
          <w:sz w:val="23"/>
        </w:rPr>
      </w:pPr>
    </w:p>
    <w:p>
      <w:pPr>
        <w:pStyle w:val="ListParagraph"/>
        <w:numPr>
          <w:ilvl w:val="0"/>
          <w:numId w:val="2"/>
        </w:numPr>
        <w:tabs>
          <w:tab w:pos="638" w:val="left" w:leader="none"/>
          <w:tab w:pos="639" w:val="left" w:leader="none"/>
        </w:tabs>
        <w:spacing w:line="240" w:lineRule="auto" w:before="1" w:after="0"/>
        <w:ind w:left="638" w:right="0" w:hanging="511"/>
        <w:jc w:val="left"/>
        <w:rPr>
          <w:sz w:val="22"/>
        </w:rPr>
      </w:pPr>
      <w:r>
        <w:rPr>
          <w:color w:val="231F20"/>
          <w:sz w:val="22"/>
        </w:rPr>
        <w:t>Show a zero-tolerance approach to</w:t>
      </w:r>
      <w:r>
        <w:rPr>
          <w:color w:val="231F20"/>
          <w:spacing w:val="-8"/>
          <w:sz w:val="22"/>
        </w:rPr>
        <w:t> </w:t>
      </w:r>
      <w:r>
        <w:rPr>
          <w:color w:val="231F20"/>
          <w:sz w:val="22"/>
        </w:rPr>
        <w:t>domestic</w:t>
      </w:r>
    </w:p>
    <w:p>
      <w:pPr>
        <w:pStyle w:val="BodyText"/>
        <w:spacing w:before="11"/>
        <w:ind w:left="638"/>
      </w:pPr>
      <w:r>
        <w:rPr>
          <w:color w:val="231F20"/>
        </w:rPr>
        <w:t>and family violence</w:t>
      </w:r>
    </w:p>
    <w:p>
      <w:pPr>
        <w:pStyle w:val="BodyText"/>
        <w:spacing w:before="10"/>
        <w:rPr>
          <w:sz w:val="23"/>
        </w:rPr>
      </w:pPr>
    </w:p>
    <w:p>
      <w:pPr>
        <w:pStyle w:val="ListParagraph"/>
        <w:numPr>
          <w:ilvl w:val="0"/>
          <w:numId w:val="2"/>
        </w:numPr>
        <w:tabs>
          <w:tab w:pos="638" w:val="left" w:leader="none"/>
          <w:tab w:pos="639" w:val="left" w:leader="none"/>
        </w:tabs>
        <w:spacing w:line="261" w:lineRule="auto" w:before="0" w:after="0"/>
        <w:ind w:left="638" w:right="379" w:hanging="511"/>
        <w:jc w:val="left"/>
        <w:rPr>
          <w:sz w:val="22"/>
        </w:rPr>
      </w:pPr>
      <w:r>
        <w:rPr>
          <w:color w:val="231F20"/>
          <w:sz w:val="22"/>
        </w:rPr>
        <w:t>Conduct business in a way that builds good relationships and achieves a positive impact on the local communities in which they</w:t>
      </w:r>
      <w:r>
        <w:rPr>
          <w:color w:val="231F20"/>
          <w:spacing w:val="-20"/>
          <w:sz w:val="22"/>
        </w:rPr>
        <w:t> </w:t>
      </w:r>
      <w:r>
        <w:rPr>
          <w:color w:val="231F20"/>
          <w:sz w:val="22"/>
        </w:rPr>
        <w:t>operate</w:t>
      </w:r>
    </w:p>
    <w:p>
      <w:pPr>
        <w:pStyle w:val="BodyText"/>
      </w:pPr>
    </w:p>
    <w:p>
      <w:pPr>
        <w:pStyle w:val="ListParagraph"/>
        <w:numPr>
          <w:ilvl w:val="0"/>
          <w:numId w:val="2"/>
        </w:numPr>
        <w:tabs>
          <w:tab w:pos="638" w:val="left" w:leader="none"/>
          <w:tab w:pos="639" w:val="left" w:leader="none"/>
        </w:tabs>
        <w:spacing w:line="261" w:lineRule="auto" w:before="0" w:after="0"/>
        <w:ind w:left="638" w:right="502" w:hanging="511"/>
        <w:jc w:val="left"/>
        <w:rPr>
          <w:sz w:val="22"/>
        </w:rPr>
      </w:pPr>
      <w:r>
        <w:rPr>
          <w:color w:val="231F20"/>
          <w:sz w:val="22"/>
        </w:rPr>
        <w:t>Commit their suppliers and sub-contractors to operate with the same</w:t>
      </w:r>
      <w:r>
        <w:rPr>
          <w:color w:val="231F20"/>
          <w:spacing w:val="-4"/>
          <w:sz w:val="22"/>
        </w:rPr>
        <w:t> </w:t>
      </w:r>
      <w:r>
        <w:rPr>
          <w:color w:val="231F20"/>
          <w:sz w:val="22"/>
        </w:rPr>
        <w:t>standards.</w:t>
      </w:r>
    </w:p>
    <w:p>
      <w:pPr>
        <w:spacing w:after="0" w:line="261" w:lineRule="auto"/>
        <w:jc w:val="left"/>
        <w:rPr>
          <w:sz w:val="22"/>
        </w:rPr>
        <w:sectPr>
          <w:type w:val="continuous"/>
          <w:pgSz w:w="11910" w:h="16840"/>
          <w:pgMar w:top="1580" w:bottom="0" w:left="580" w:right="360"/>
          <w:cols w:num="2" w:equalWidth="0">
            <w:col w:w="5195" w:space="189"/>
            <w:col w:w="5586"/>
          </w:cols>
        </w:sectPr>
      </w:pPr>
    </w:p>
    <w:p>
      <w:pPr>
        <w:pStyle w:val="Heading1"/>
        <w:tabs>
          <w:tab w:pos="5641" w:val="left" w:leader="none"/>
        </w:tabs>
        <w:spacing w:before="19"/>
        <w:ind w:left="0" w:right="707"/>
        <w:jc w:val="center"/>
      </w:pPr>
      <w:r>
        <w:rPr>
          <w:color w:val="DD0000"/>
        </w:rPr>
        <w:t>Sustainability</w:t>
        <w:tab/>
        <w:t>Advertising</w:t>
      </w:r>
    </w:p>
    <w:p>
      <w:pPr>
        <w:pStyle w:val="BodyText"/>
        <w:rPr>
          <w:b/>
          <w:sz w:val="29"/>
        </w:rPr>
      </w:pPr>
    </w:p>
    <w:p>
      <w:pPr>
        <w:spacing w:after="0"/>
        <w:rPr>
          <w:sz w:val="29"/>
        </w:rPr>
        <w:sectPr>
          <w:headerReference w:type="default" r:id="rId16"/>
          <w:pgSz w:w="11910" w:h="16840"/>
          <w:pgMar w:header="621" w:footer="0" w:top="2000" w:bottom="0" w:left="580" w:right="360"/>
        </w:sectPr>
      </w:pPr>
    </w:p>
    <w:p>
      <w:pPr>
        <w:pStyle w:val="BodyText"/>
        <w:spacing w:line="249" w:lineRule="auto" w:before="97"/>
        <w:ind w:left="128" w:right="53"/>
      </w:pPr>
      <w:r>
        <w:rPr>
          <w:color w:val="231F20"/>
        </w:rPr>
        <w:t>Queensland Rail is committed to reducing the impact of its operations and that of its supply chain on the environment.</w:t>
      </w:r>
    </w:p>
    <w:p>
      <w:pPr>
        <w:pStyle w:val="BodyText"/>
        <w:spacing w:before="2"/>
        <w:rPr>
          <w:sz w:val="23"/>
        </w:rPr>
      </w:pPr>
    </w:p>
    <w:p>
      <w:pPr>
        <w:pStyle w:val="BodyText"/>
        <w:ind w:left="128"/>
      </w:pPr>
      <w:r>
        <w:rPr>
          <w:color w:val="231F20"/>
        </w:rPr>
        <w:t>We expect our suppliers to:</w:t>
      </w:r>
    </w:p>
    <w:p>
      <w:pPr>
        <w:pStyle w:val="BodyText"/>
        <w:spacing w:before="10"/>
        <w:rPr>
          <w:sz w:val="23"/>
        </w:rPr>
      </w:pPr>
    </w:p>
    <w:p>
      <w:pPr>
        <w:pStyle w:val="ListParagraph"/>
        <w:numPr>
          <w:ilvl w:val="0"/>
          <w:numId w:val="2"/>
        </w:numPr>
        <w:tabs>
          <w:tab w:pos="638" w:val="left" w:leader="none"/>
          <w:tab w:pos="639" w:val="left" w:leader="none"/>
        </w:tabs>
        <w:spacing w:line="249" w:lineRule="auto" w:before="0" w:after="0"/>
        <w:ind w:left="638" w:right="159" w:hanging="511"/>
        <w:jc w:val="left"/>
        <w:rPr>
          <w:sz w:val="22"/>
        </w:rPr>
      </w:pPr>
      <w:r>
        <w:rPr>
          <w:color w:val="231F20"/>
          <w:sz w:val="22"/>
        </w:rPr>
        <w:t>Comply with and keep abreast of all relevant laws and regulations relating to the environment</w:t>
      </w:r>
    </w:p>
    <w:p>
      <w:pPr>
        <w:pStyle w:val="BodyText"/>
        <w:spacing w:before="2"/>
        <w:rPr>
          <w:sz w:val="23"/>
        </w:rPr>
      </w:pPr>
    </w:p>
    <w:p>
      <w:pPr>
        <w:pStyle w:val="ListParagraph"/>
        <w:numPr>
          <w:ilvl w:val="0"/>
          <w:numId w:val="2"/>
        </w:numPr>
        <w:tabs>
          <w:tab w:pos="638" w:val="left" w:leader="none"/>
          <w:tab w:pos="639" w:val="left" w:leader="none"/>
        </w:tabs>
        <w:spacing w:line="249" w:lineRule="auto" w:before="1" w:after="0"/>
        <w:ind w:left="638" w:right="453" w:hanging="511"/>
        <w:jc w:val="left"/>
        <w:rPr>
          <w:sz w:val="22"/>
        </w:rPr>
      </w:pPr>
      <w:r>
        <w:rPr>
          <w:color w:val="231F20"/>
          <w:sz w:val="22"/>
        </w:rPr>
        <w:t>Consider the impact of their goods and </w:t>
      </w:r>
      <w:r>
        <w:rPr>
          <w:color w:val="231F20"/>
          <w:spacing w:val="-9"/>
          <w:sz w:val="22"/>
        </w:rPr>
        <w:t>or </w:t>
      </w:r>
      <w:r>
        <w:rPr>
          <w:color w:val="231F20"/>
          <w:sz w:val="22"/>
        </w:rPr>
        <w:t>services on the</w:t>
      </w:r>
      <w:r>
        <w:rPr>
          <w:color w:val="231F20"/>
          <w:spacing w:val="-1"/>
          <w:sz w:val="22"/>
        </w:rPr>
        <w:t> </w:t>
      </w:r>
      <w:r>
        <w:rPr>
          <w:color w:val="231F20"/>
          <w:sz w:val="22"/>
        </w:rPr>
        <w:t>environment</w:t>
      </w:r>
    </w:p>
    <w:p>
      <w:pPr>
        <w:pStyle w:val="BodyText"/>
        <w:spacing w:before="1"/>
        <w:rPr>
          <w:sz w:val="23"/>
        </w:rPr>
      </w:pPr>
    </w:p>
    <w:p>
      <w:pPr>
        <w:pStyle w:val="ListParagraph"/>
        <w:numPr>
          <w:ilvl w:val="0"/>
          <w:numId w:val="2"/>
        </w:numPr>
        <w:tabs>
          <w:tab w:pos="638" w:val="left" w:leader="none"/>
          <w:tab w:pos="639" w:val="left" w:leader="none"/>
        </w:tabs>
        <w:spacing w:line="249" w:lineRule="auto" w:before="0" w:after="0"/>
        <w:ind w:left="638" w:right="38" w:hanging="511"/>
        <w:jc w:val="left"/>
        <w:rPr>
          <w:sz w:val="22"/>
        </w:rPr>
      </w:pPr>
      <w:r>
        <w:rPr>
          <w:color w:val="231F20"/>
          <w:sz w:val="22"/>
        </w:rPr>
        <w:t>Effectively assess and mitigate </w:t>
      </w:r>
      <w:r>
        <w:rPr>
          <w:color w:val="231F20"/>
          <w:spacing w:val="-2"/>
          <w:sz w:val="22"/>
        </w:rPr>
        <w:t>environmental </w:t>
      </w:r>
      <w:r>
        <w:rPr>
          <w:color w:val="231F20"/>
          <w:sz w:val="22"/>
        </w:rPr>
        <w:t>risks</w:t>
      </w:r>
    </w:p>
    <w:p>
      <w:pPr>
        <w:pStyle w:val="BodyText"/>
        <w:spacing w:before="1"/>
        <w:rPr>
          <w:sz w:val="23"/>
        </w:rPr>
      </w:pPr>
    </w:p>
    <w:p>
      <w:pPr>
        <w:pStyle w:val="ListParagraph"/>
        <w:numPr>
          <w:ilvl w:val="0"/>
          <w:numId w:val="2"/>
        </w:numPr>
        <w:tabs>
          <w:tab w:pos="638" w:val="left" w:leader="none"/>
          <w:tab w:pos="639" w:val="left" w:leader="none"/>
        </w:tabs>
        <w:spacing w:line="249" w:lineRule="auto" w:before="0" w:after="0"/>
        <w:ind w:left="638" w:right="86" w:hanging="511"/>
        <w:jc w:val="left"/>
        <w:rPr>
          <w:sz w:val="22"/>
        </w:rPr>
      </w:pPr>
      <w:r>
        <w:rPr>
          <w:color w:val="231F20"/>
          <w:sz w:val="22"/>
        </w:rPr>
        <w:t>Progressively look for opportunities to improve environmental outcomes and </w:t>
      </w:r>
      <w:r>
        <w:rPr>
          <w:color w:val="231F20"/>
          <w:spacing w:val="-3"/>
          <w:sz w:val="22"/>
        </w:rPr>
        <w:t>reduce </w:t>
      </w:r>
      <w:r>
        <w:rPr>
          <w:color w:val="231F20"/>
          <w:sz w:val="22"/>
        </w:rPr>
        <w:t>environmental impacts</w:t>
      </w:r>
    </w:p>
    <w:p>
      <w:pPr>
        <w:pStyle w:val="BodyText"/>
        <w:spacing w:before="2"/>
        <w:rPr>
          <w:sz w:val="23"/>
        </w:rPr>
      </w:pPr>
    </w:p>
    <w:p>
      <w:pPr>
        <w:pStyle w:val="ListParagraph"/>
        <w:numPr>
          <w:ilvl w:val="0"/>
          <w:numId w:val="2"/>
        </w:numPr>
        <w:tabs>
          <w:tab w:pos="638" w:val="left" w:leader="none"/>
          <w:tab w:pos="639" w:val="left" w:leader="none"/>
        </w:tabs>
        <w:spacing w:line="273" w:lineRule="auto" w:before="1" w:after="0"/>
        <w:ind w:left="638" w:right="50" w:hanging="511"/>
        <w:jc w:val="left"/>
        <w:rPr>
          <w:sz w:val="22"/>
        </w:rPr>
      </w:pPr>
      <w:r>
        <w:rPr>
          <w:color w:val="231F20"/>
          <w:sz w:val="22"/>
        </w:rPr>
        <w:t>Commit their suppliers and sub-contractors to operate with the same</w:t>
      </w:r>
      <w:r>
        <w:rPr>
          <w:color w:val="231F20"/>
          <w:spacing w:val="-4"/>
          <w:sz w:val="22"/>
        </w:rPr>
        <w:t> </w:t>
      </w:r>
      <w:r>
        <w:rPr>
          <w:color w:val="231F20"/>
          <w:sz w:val="22"/>
        </w:rPr>
        <w:t>standards.</w:t>
      </w:r>
    </w:p>
    <w:p>
      <w:pPr>
        <w:pStyle w:val="BodyText"/>
        <w:spacing w:line="249" w:lineRule="auto" w:before="93"/>
        <w:ind w:left="128" w:right="767"/>
      </w:pPr>
      <w:r>
        <w:rPr/>
        <w:br w:type="column"/>
      </w:r>
      <w:r>
        <w:rPr>
          <w:color w:val="231F20"/>
        </w:rPr>
        <w:t>We expect suppliers will not, without our prior written consent:</w:t>
      </w:r>
    </w:p>
    <w:p>
      <w:pPr>
        <w:pStyle w:val="ListParagraph"/>
        <w:numPr>
          <w:ilvl w:val="0"/>
          <w:numId w:val="2"/>
        </w:numPr>
        <w:tabs>
          <w:tab w:pos="639" w:val="left" w:leader="none"/>
          <w:tab w:pos="640" w:val="left" w:leader="none"/>
        </w:tabs>
        <w:spacing w:line="261" w:lineRule="auto" w:before="178" w:after="0"/>
        <w:ind w:left="639" w:right="868" w:hanging="511"/>
        <w:jc w:val="left"/>
        <w:rPr>
          <w:sz w:val="22"/>
        </w:rPr>
      </w:pPr>
      <w:r>
        <w:rPr>
          <w:color w:val="231F20"/>
          <w:sz w:val="22"/>
        </w:rPr>
        <w:t>Use Queensland Rail’s name or logo in publicity or</w:t>
      </w:r>
      <w:r>
        <w:rPr>
          <w:color w:val="231F20"/>
          <w:spacing w:val="-4"/>
          <w:sz w:val="22"/>
        </w:rPr>
        <w:t> </w:t>
      </w:r>
      <w:r>
        <w:rPr>
          <w:color w:val="231F20"/>
          <w:sz w:val="22"/>
        </w:rPr>
        <w:t>advertising</w:t>
      </w:r>
    </w:p>
    <w:p>
      <w:pPr>
        <w:pStyle w:val="BodyText"/>
        <w:spacing w:before="11"/>
        <w:rPr>
          <w:sz w:val="21"/>
        </w:rPr>
      </w:pPr>
    </w:p>
    <w:p>
      <w:pPr>
        <w:pStyle w:val="ListParagraph"/>
        <w:numPr>
          <w:ilvl w:val="0"/>
          <w:numId w:val="2"/>
        </w:numPr>
        <w:tabs>
          <w:tab w:pos="639" w:val="left" w:leader="none"/>
          <w:tab w:pos="640" w:val="left" w:leader="none"/>
        </w:tabs>
        <w:spacing w:line="261" w:lineRule="auto" w:before="0" w:after="0"/>
        <w:ind w:left="639" w:right="599" w:hanging="511"/>
        <w:jc w:val="left"/>
        <w:rPr>
          <w:sz w:val="22"/>
        </w:rPr>
      </w:pPr>
      <w:r>
        <w:rPr>
          <w:color w:val="231F20"/>
          <w:sz w:val="22"/>
        </w:rPr>
        <w:t>Make representations or statements for </w:t>
      </w:r>
      <w:r>
        <w:rPr>
          <w:color w:val="231F20"/>
          <w:spacing w:val="-8"/>
          <w:sz w:val="22"/>
        </w:rPr>
        <w:t>or </w:t>
      </w:r>
      <w:r>
        <w:rPr>
          <w:color w:val="231F20"/>
          <w:sz w:val="22"/>
        </w:rPr>
        <w:t>on behalf of Queensland</w:t>
      </w:r>
      <w:r>
        <w:rPr>
          <w:color w:val="231F20"/>
          <w:spacing w:val="-5"/>
          <w:sz w:val="22"/>
        </w:rPr>
        <w:t> </w:t>
      </w:r>
      <w:r>
        <w:rPr>
          <w:color w:val="231F20"/>
          <w:sz w:val="22"/>
        </w:rPr>
        <w:t>Rail</w:t>
      </w:r>
    </w:p>
    <w:p>
      <w:pPr>
        <w:pStyle w:val="BodyText"/>
        <w:rPr>
          <w:sz w:val="32"/>
        </w:rPr>
      </w:pPr>
    </w:p>
    <w:p>
      <w:pPr>
        <w:pStyle w:val="BodyText"/>
        <w:spacing w:line="261" w:lineRule="auto"/>
        <w:ind w:left="129" w:right="790"/>
      </w:pPr>
      <w:r>
        <w:rPr>
          <w:color w:val="231F20"/>
        </w:rPr>
        <w:t>We expect suppliers will commit their suppliers and sub-contractors to operate with the same standards.</w:t>
      </w:r>
    </w:p>
    <w:p>
      <w:pPr>
        <w:spacing w:after="0" w:line="261" w:lineRule="auto"/>
        <w:sectPr>
          <w:type w:val="continuous"/>
          <w:pgSz w:w="11910" w:h="16840"/>
          <w:pgMar w:top="1580" w:bottom="0" w:left="580" w:right="360"/>
          <w:cols w:num="2" w:equalWidth="0">
            <w:col w:w="5130" w:space="510"/>
            <w:col w:w="5330"/>
          </w:cols>
        </w:sectPr>
      </w:pPr>
    </w:p>
    <w:p>
      <w:pPr>
        <w:pStyle w:val="BodyText"/>
        <w:rPr>
          <w:sz w:val="20"/>
        </w:rPr>
      </w:pPr>
      <w:r>
        <w:rPr/>
        <w:pict>
          <v:group style="position:absolute;margin-left:0pt;margin-top:408.89801pt;width:595.3pt;height:433pt;mso-position-horizontal-relative:page;mso-position-vertical-relative:page;z-index:-15925248" coordorigin="0,8178" coordsize="11906,8660">
            <v:shape style="position:absolute;left:0;top:8177;width:11906;height:8660" type="#_x0000_t75" stroked="false">
              <v:imagedata r:id="rId17" o:title=""/>
            </v:shape>
            <v:shape style="position:absolute;left:888;top:9297;width:794;height:794" type="#_x0000_t75" stroked="false">
              <v:imagedata r:id="rId18" o:title=""/>
            </v:shape>
            <v:rect style="position:absolute;left:6312;top:11212;width:4918;height:29" filled="true" fillcolor="#ffffff" stroked="false">
              <v:fill opacity="49152f" type="solid"/>
            </v:rect>
            <v:rect style="position:absolute;left:6312;top:11241;width:4918;height:2211" filled="true" fillcolor="#231f20" stroked="false">
              <v:fill opacity="49152f" type="solid"/>
            </v:rect>
            <v:rect style="position:absolute;left:698;top:11220;width:5020;height:29" filled="true" fillcolor="#ffffff" stroked="false">
              <v:fill opacity="49152f" type="solid"/>
            </v:rect>
            <v:rect style="position:absolute;left:698;top:11248;width:5020;height:1612" filled="true" fillcolor="#231f20" stroked="false">
              <v:fill opacity="49152f" type="solid"/>
            </v:rect>
            <v:line style="position:absolute" from="709,15848" to="11197,15867" stroked="true" strokeweight=".5pt" strokecolor="#231f20">
              <v:stroke dashstyle="solid"/>
            </v:line>
            <w10:wrap type="none"/>
          </v:group>
        </w:pict>
      </w:r>
      <w:r>
        <w:rPr/>
        <w:drawing>
          <wp:anchor distT="0" distB="0" distL="0" distR="0" allowOverlap="1" layoutInCell="1" locked="0" behindDoc="0" simplePos="0" relativeHeight="15733760">
            <wp:simplePos x="0" y="0"/>
            <wp:positionH relativeFrom="page">
              <wp:posOffset>557999</wp:posOffset>
            </wp:positionH>
            <wp:positionV relativeFrom="page">
              <wp:posOffset>1053004</wp:posOffset>
            </wp:positionV>
            <wp:extent cx="504000" cy="504000"/>
            <wp:effectExtent l="0" t="0" r="0" b="0"/>
            <wp:wrapNone/>
            <wp:docPr id="11" name="image14.png"/>
            <wp:cNvGraphicFramePr>
              <a:graphicFrameLocks noChangeAspect="1"/>
            </wp:cNvGraphicFramePr>
            <a:graphic>
              <a:graphicData uri="http://schemas.openxmlformats.org/drawingml/2006/picture">
                <pic:pic>
                  <pic:nvPicPr>
                    <pic:cNvPr id="12" name="image14.png"/>
                    <pic:cNvPicPr/>
                  </pic:nvPicPr>
                  <pic:blipFill>
                    <a:blip r:embed="rId19" cstate="print"/>
                    <a:stretch>
                      <a:fillRect/>
                    </a:stretch>
                  </pic:blipFill>
                  <pic:spPr>
                    <a:xfrm>
                      <a:off x="0" y="0"/>
                      <a:ext cx="504000" cy="504000"/>
                    </a:xfrm>
                    <a:prstGeom prst="rect">
                      <a:avLst/>
                    </a:prstGeom>
                  </pic:spPr>
                </pic:pic>
              </a:graphicData>
            </a:graphic>
          </wp:anchor>
        </w:drawing>
      </w:r>
      <w:r>
        <w:rPr/>
        <w:drawing>
          <wp:anchor distT="0" distB="0" distL="0" distR="0" allowOverlap="1" layoutInCell="1" locked="0" behindDoc="1" simplePos="0" relativeHeight="487392256">
            <wp:simplePos x="0" y="0"/>
            <wp:positionH relativeFrom="page">
              <wp:posOffset>4140000</wp:posOffset>
            </wp:positionH>
            <wp:positionV relativeFrom="page">
              <wp:posOffset>1053004</wp:posOffset>
            </wp:positionV>
            <wp:extent cx="504000" cy="504000"/>
            <wp:effectExtent l="0" t="0" r="0" b="0"/>
            <wp:wrapNone/>
            <wp:docPr id="13" name="image15.png"/>
            <wp:cNvGraphicFramePr>
              <a:graphicFrameLocks noChangeAspect="1"/>
            </wp:cNvGraphicFramePr>
            <a:graphic>
              <a:graphicData uri="http://schemas.openxmlformats.org/drawingml/2006/picture">
                <pic:pic>
                  <pic:nvPicPr>
                    <pic:cNvPr id="14" name="image15.png"/>
                    <pic:cNvPicPr/>
                  </pic:nvPicPr>
                  <pic:blipFill>
                    <a:blip r:embed="rId20" cstate="print"/>
                    <a:stretch>
                      <a:fillRect/>
                    </a:stretch>
                  </pic:blipFill>
                  <pic:spPr>
                    <a:xfrm>
                      <a:off x="0" y="0"/>
                      <a:ext cx="504000" cy="504000"/>
                    </a:xfrm>
                    <a:prstGeom prst="rect">
                      <a:avLst/>
                    </a:prstGeom>
                  </pic:spPr>
                </pic:pic>
              </a:graphicData>
            </a:graphic>
          </wp:anchor>
        </w:drawing>
      </w:r>
    </w:p>
    <w:p>
      <w:pPr>
        <w:pStyle w:val="BodyText"/>
        <w:spacing w:before="2"/>
        <w:rPr>
          <w:sz w:val="16"/>
        </w:rPr>
      </w:pPr>
    </w:p>
    <w:p>
      <w:pPr>
        <w:pStyle w:val="Heading1"/>
        <w:spacing w:line="249" w:lineRule="auto" w:before="88"/>
        <w:ind w:left="1272" w:right="661"/>
      </w:pPr>
      <w:r>
        <w:rPr>
          <w:color w:val="DD0000"/>
        </w:rPr>
        <w:t>How to deal with incidents or suspected breaches of the Code</w:t>
      </w:r>
    </w:p>
    <w:p>
      <w:pPr>
        <w:pStyle w:val="BodyText"/>
        <w:spacing w:before="6"/>
        <w:rPr>
          <w:b/>
          <w:sz w:val="19"/>
        </w:rPr>
      </w:pPr>
    </w:p>
    <w:p>
      <w:pPr>
        <w:pStyle w:val="BodyText"/>
        <w:spacing w:before="93"/>
        <w:ind w:left="138"/>
      </w:pPr>
      <w:r>
        <w:rPr>
          <w:color w:val="231F20"/>
        </w:rPr>
        <w:t>Concerns regarding breaches of this Code should be directed to:</w:t>
      </w:r>
    </w:p>
    <w:p>
      <w:pPr>
        <w:pStyle w:val="BodyText"/>
        <w:rPr>
          <w:sz w:val="20"/>
        </w:rPr>
      </w:pPr>
    </w:p>
    <w:p>
      <w:pPr>
        <w:pStyle w:val="BodyText"/>
        <w:spacing w:before="3"/>
        <w:rPr>
          <w:sz w:val="21"/>
        </w:rPr>
      </w:pPr>
      <w:r>
        <w:rPr/>
        <w:pict>
          <v:shape style="position:absolute;margin-left:34.933201pt;margin-top:13.844185pt;width:251pt;height:80.6pt;mso-position-horizontal-relative:page;mso-position-vertical-relative:paragraph;z-index:-15725056;mso-wrap-distance-left:0;mso-wrap-distance-right:0" type="#_x0000_t202" filled="false" stroked="false">
            <v:textbox inset="0,0,0,0">
              <w:txbxContent>
                <w:p>
                  <w:pPr>
                    <w:spacing w:line="249" w:lineRule="auto" w:before="127"/>
                    <w:ind w:left="254" w:right="320" w:firstLine="0"/>
                    <w:jc w:val="left"/>
                    <w:rPr>
                      <w:b/>
                      <w:sz w:val="22"/>
                    </w:rPr>
                  </w:pPr>
                  <w:r>
                    <w:rPr>
                      <w:b/>
                      <w:color w:val="231F20"/>
                      <w:sz w:val="22"/>
                    </w:rPr>
                    <w:t>Option 1: For Supplier Code of Conduct related issues, complaints or questions please contact the Queensland Rail Ethics and Integrity team at </w:t>
                  </w:r>
                  <w:hyperlink r:id="rId21">
                    <w:r>
                      <w:rPr>
                        <w:b/>
                        <w:color w:val="231F20"/>
                        <w:sz w:val="22"/>
                      </w:rPr>
                      <w:t>Ethics@qr.com.au </w:t>
                    </w:r>
                  </w:hyperlink>
                  <w:r>
                    <w:rPr>
                      <w:b/>
                      <w:color w:val="231F20"/>
                      <w:sz w:val="22"/>
                    </w:rPr>
                    <w:t>or </w:t>
                  </w:r>
                  <w:hyperlink r:id="rId22">
                    <w:r>
                      <w:rPr>
                        <w:b/>
                        <w:color w:val="231F20"/>
                        <w:sz w:val="22"/>
                      </w:rPr>
                      <w:t>qr@stopline.com.au</w:t>
                    </w:r>
                  </w:hyperlink>
                </w:p>
              </w:txbxContent>
            </v:textbox>
            <w10:wrap type="topAndBottom"/>
          </v:shape>
        </w:pict>
      </w:r>
      <w:r>
        <w:rPr/>
        <w:pict>
          <v:shape style="position:absolute;margin-left:315.606995pt;margin-top:13.465249pt;width:245.9pt;height:110.55pt;mso-position-horizontal-relative:page;mso-position-vertical-relative:paragraph;z-index:-15724544;mso-wrap-distance-left:0;mso-wrap-distance-right:0" type="#_x0000_t202" filled="false" stroked="false">
            <v:textbox inset="0,0,0,0">
              <w:txbxContent>
                <w:p>
                  <w:pPr>
                    <w:spacing w:line="249" w:lineRule="auto" w:before="135"/>
                    <w:ind w:left="202" w:right="893" w:firstLine="0"/>
                    <w:jc w:val="left"/>
                    <w:rPr>
                      <w:b/>
                      <w:sz w:val="22"/>
                    </w:rPr>
                  </w:pPr>
                  <w:r>
                    <w:rPr>
                      <w:b/>
                      <w:color w:val="231F20"/>
                      <w:sz w:val="22"/>
                    </w:rPr>
                    <w:t>Option 2: Any concerns regarding illegal activity or corruption should be immediately referred to either the</w:t>
                  </w:r>
                </w:p>
                <w:p>
                  <w:pPr>
                    <w:spacing w:line="249" w:lineRule="auto" w:before="2"/>
                    <w:ind w:left="202" w:right="258" w:firstLine="0"/>
                    <w:jc w:val="left"/>
                    <w:rPr>
                      <w:b/>
                      <w:sz w:val="22"/>
                    </w:rPr>
                  </w:pPr>
                  <w:r>
                    <w:rPr>
                      <w:b/>
                      <w:color w:val="231F20"/>
                      <w:sz w:val="22"/>
                    </w:rPr>
                    <w:t>Queensland Police Service or the Crime and Corruption Commission. Concerns regarding breaches of regulation should be referred to the relevant regulatory body</w:t>
                  </w:r>
                </w:p>
              </w:txbxContent>
            </v:textbox>
            <w10:wrap type="topAndBottom"/>
          </v:shape>
        </w:pict>
      </w:r>
    </w:p>
    <w:sectPr>
      <w:type w:val="continuous"/>
      <w:pgSz w:w="11910" w:h="16840"/>
      <w:pgMar w:top="1580" w:bottom="0" w:left="58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rebuchet MS">
    <w:altName w:val="Trebuchet MS"/>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5.433201pt;margin-top:31.031715pt;width:520.4500pt;height:22.85pt;mso-position-horizontal-relative:page;mso-position-vertical-relative:page;z-index:-15929856" coordorigin="709,621" coordsize="10409,457">
          <v:shape style="position:absolute;left:7271;top:623;width:3846;height:454" type="#_x0000_t75" stroked="false">
            <v:imagedata r:id="rId1" o:title=""/>
          </v:shape>
          <v:shape style="position:absolute;left:708;top:620;width:6528;height:420" coordorigin="709,621" coordsize="6528,420" path="m7237,621l709,621,709,1041,6889,1041,7237,621xe" filled="true" fillcolor="#dd0000" stroked="false">
            <v:path arrowok="t"/>
            <v:fill type="solid"/>
          </v:shape>
          <w10:wrap type="none"/>
        </v:group>
      </w:pict>
    </w:r>
    <w:r>
      <w:rPr/>
      <w:drawing>
        <wp:anchor distT="0" distB="0" distL="0" distR="0" allowOverlap="1" layoutInCell="1" locked="0" behindDoc="1" simplePos="0" relativeHeight="487387136">
          <wp:simplePos x="0" y="0"/>
          <wp:positionH relativeFrom="page">
            <wp:posOffset>557999</wp:posOffset>
          </wp:positionH>
          <wp:positionV relativeFrom="page">
            <wp:posOffset>1053004</wp:posOffset>
          </wp:positionV>
          <wp:extent cx="504000" cy="504000"/>
          <wp:effectExtent l="0" t="0" r="0" b="0"/>
          <wp:wrapNone/>
          <wp:docPr id="1" name="image3.png"/>
          <wp:cNvGraphicFramePr>
            <a:graphicFrameLocks noChangeAspect="1"/>
          </wp:cNvGraphicFramePr>
          <a:graphic>
            <a:graphicData uri="http://schemas.openxmlformats.org/drawingml/2006/picture">
              <pic:pic>
                <pic:nvPicPr>
                  <pic:cNvPr id="2" name="image3.png"/>
                  <pic:cNvPicPr/>
                </pic:nvPicPr>
                <pic:blipFill>
                  <a:blip r:embed="rId2" cstate="print"/>
                  <a:stretch>
                    <a:fillRect/>
                  </a:stretch>
                </pic:blipFill>
                <pic:spPr>
                  <a:xfrm>
                    <a:off x="0" y="0"/>
                    <a:ext cx="504000" cy="504000"/>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91.125999pt;margin-top:100.813217pt;width:112.85pt;height:23.25pt;mso-position-horizontal-relative:page;mso-position-vertical-relative:page;z-index:-15928832" type="#_x0000_t202" filled="false" stroked="false">
          <v:textbox inset="0,0,0,0">
            <w:txbxContent>
              <w:p>
                <w:pPr>
                  <w:spacing w:before="7"/>
                  <w:ind w:left="20" w:right="0" w:firstLine="0"/>
                  <w:jc w:val="left"/>
                  <w:rPr>
                    <w:b/>
                    <w:sz w:val="38"/>
                  </w:rPr>
                </w:pPr>
                <w:r>
                  <w:rPr>
                    <w:b/>
                    <w:color w:val="DD0000"/>
                    <w:sz w:val="38"/>
                  </w:rPr>
                  <w:t>Introduction</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5.433201pt;margin-top:31.031715pt;width:520.4500pt;height:22.85pt;mso-position-horizontal-relative:page;mso-position-vertical-relative:page;z-index:-15928320" coordorigin="709,621" coordsize="10409,457">
          <v:shape style="position:absolute;left:7271;top:623;width:3846;height:454" type="#_x0000_t75" stroked="false">
            <v:imagedata r:id="rId1" o:title=""/>
          </v:shape>
          <v:shape style="position:absolute;left:708;top:620;width:6528;height:420" coordorigin="709,621" coordsize="6528,420" path="m7237,621l709,621,709,1041,6889,1041,7237,621xe" filled="true" fillcolor="#dd0000" stroked="false">
            <v:path arrowok="t"/>
            <v:fill type="solid"/>
          </v:shape>
          <w10:wrap type="none"/>
        </v:group>
      </w:pict>
    </w:r>
    <w:r>
      <w:rPr/>
      <w:drawing>
        <wp:anchor distT="0" distB="0" distL="0" distR="0" allowOverlap="1" layoutInCell="1" locked="0" behindDoc="1" simplePos="0" relativeHeight="487388672">
          <wp:simplePos x="0" y="0"/>
          <wp:positionH relativeFrom="page">
            <wp:posOffset>557999</wp:posOffset>
          </wp:positionH>
          <wp:positionV relativeFrom="page">
            <wp:posOffset>1053004</wp:posOffset>
          </wp:positionV>
          <wp:extent cx="504000" cy="504000"/>
          <wp:effectExtent l="0" t="0" r="0" b="0"/>
          <wp:wrapNone/>
          <wp:docPr id="3" name="image6.png"/>
          <wp:cNvGraphicFramePr>
            <a:graphicFrameLocks noChangeAspect="1"/>
          </wp:cNvGraphicFramePr>
          <a:graphic>
            <a:graphicData uri="http://schemas.openxmlformats.org/drawingml/2006/picture">
              <pic:pic>
                <pic:nvPicPr>
                  <pic:cNvPr id="4" name="image6.png"/>
                  <pic:cNvPicPr/>
                </pic:nvPicPr>
                <pic:blipFill>
                  <a:blip r:embed="rId2" cstate="print"/>
                  <a:stretch>
                    <a:fillRect/>
                  </a:stretch>
                </pic:blipFill>
                <pic:spPr>
                  <a:xfrm>
                    <a:off x="0" y="0"/>
                    <a:ext cx="504000" cy="504000"/>
                  </a:xfrm>
                  <a:prstGeom prst="rect">
                    <a:avLst/>
                  </a:prstGeom>
                </pic:spPr>
              </pic:pic>
            </a:graphicData>
          </a:graphic>
        </wp:anchor>
      </w:drawing>
    </w:r>
    <w:r>
      <w:rPr/>
      <w:pict>
        <v:shape style="position:absolute;margin-left:91.125999pt;margin-top:100.813217pt;width:59.05pt;height:23.25pt;mso-position-horizontal-relative:page;mso-position-vertical-relative:page;z-index:-15927296" type="#_x0000_t202" filled="false" stroked="false">
          <v:textbox inset="0,0,0,0">
            <w:txbxContent>
              <w:p>
                <w:pPr>
                  <w:spacing w:before="7"/>
                  <w:ind w:left="20" w:right="0" w:firstLine="0"/>
                  <w:jc w:val="left"/>
                  <w:rPr>
                    <w:b/>
                    <w:sz w:val="38"/>
                  </w:rPr>
                </w:pPr>
                <w:r>
                  <w:rPr>
                    <w:b/>
                    <w:color w:val="DD0000"/>
                    <w:sz w:val="38"/>
                  </w:rPr>
                  <w:t>Safety</w:t>
                </w:r>
              </w:p>
            </w:txbxContent>
          </v:textbox>
          <w10:wrap type="none"/>
        </v:shape>
      </w:pict>
    </w:r>
    <w:r>
      <w:rPr/>
      <w:pict>
        <v:shape style="position:absolute;margin-left:360.330688pt;margin-top:100.813217pt;width:162.5pt;height:23.25pt;mso-position-horizontal-relative:page;mso-position-vertical-relative:page;z-index:-15926784" type="#_x0000_t202" filled="false" stroked="false">
          <v:textbox inset="0,0,0,0">
            <w:txbxContent>
              <w:p>
                <w:pPr>
                  <w:spacing w:before="7"/>
                  <w:ind w:left="20" w:right="0" w:firstLine="0"/>
                  <w:jc w:val="left"/>
                  <w:rPr>
                    <w:b/>
                    <w:sz w:val="38"/>
                  </w:rPr>
                </w:pPr>
                <w:r>
                  <w:rPr>
                    <w:b/>
                    <w:color w:val="DD0000"/>
                    <w:sz w:val="38"/>
                  </w:rPr>
                  <w:t>Ethical Behaviour</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5.433201pt;margin-top:31.031715pt;width:520.4500pt;height:22.85pt;mso-position-horizontal-relative:page;mso-position-vertical-relative:page;z-index:-15926272" coordorigin="709,621" coordsize="10409,457">
          <v:shape style="position:absolute;left:7271;top:623;width:3846;height:454" type="#_x0000_t75" stroked="false">
            <v:imagedata r:id="rId1" o:title=""/>
          </v:shape>
          <v:shape style="position:absolute;left:708;top:620;width:6528;height:420" coordorigin="709,621" coordsize="6528,420" path="m7237,621l709,621,709,1041,6889,1041,7237,621xe" filled="true" fillcolor="#dd0000" stroked="false">
            <v:path arrowok="t"/>
            <v:fill type="solid"/>
          </v:shape>
          <w10:wrap type="none"/>
        </v:group>
      </w:pict>
    </w:r>
    <w:r>
      <w:rPr/>
      <w:pict>
        <v:shape style="position:absolute;margin-left:91.119698pt;margin-top:78.554222pt;width:105.5pt;height:23.25pt;mso-position-horizontal-relative:page;mso-position-vertical-relative:page;z-index:-15925760" type="#_x0000_t202" filled="false" stroked="false">
          <v:textbox inset="0,0,0,0">
            <w:txbxContent>
              <w:p>
                <w:pPr>
                  <w:spacing w:before="7"/>
                  <w:ind w:left="20" w:right="0" w:firstLine="0"/>
                  <w:jc w:val="left"/>
                  <w:rPr>
                    <w:b/>
                    <w:sz w:val="38"/>
                  </w:rPr>
                </w:pPr>
                <w:r>
                  <w:rPr>
                    <w:b/>
                    <w:color w:val="DD0000"/>
                    <w:sz w:val="38"/>
                  </w:rPr>
                  <w:t>Labour and</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5.433201pt;margin-top:31.031715pt;width:520.4500pt;height:22.85pt;mso-position-horizontal-relative:page;mso-position-vertical-relative:page;z-index:-15925248" coordorigin="709,621" coordsize="10409,457">
          <v:shape style="position:absolute;left:7271;top:623;width:3846;height:454" type="#_x0000_t75" stroked="false">
            <v:imagedata r:id="rId1" o:title=""/>
          </v:shape>
          <v:shape style="position:absolute;left:708;top:620;width:6528;height:420" coordorigin="709,621" coordsize="6528,420" path="m7237,621l709,621,709,1041,6889,1041,7237,621xe" filled="true" fillcolor="#dd0000" stroked="false">
            <v:path arrowok="t"/>
            <v:fill type="solid"/>
          </v:shape>
          <w10:wrap type="none"/>
        </v:group>
      </w:pict>
    </w:r>
    <w:r>
      <w:rPr/>
      <w:pict>
        <v:shape style="position:absolute;margin-left:91.116898pt;margin-top:78.544823pt;width:134pt;height:23.25pt;mso-position-horizontal-relative:page;mso-position-vertical-relative:page;z-index:-15924736" type="#_x0000_t202" filled="false" stroked="false">
          <v:textbox inset="0,0,0,0">
            <w:txbxContent>
              <w:p>
                <w:pPr>
                  <w:spacing w:before="7"/>
                  <w:ind w:left="20" w:right="0" w:firstLine="0"/>
                  <w:jc w:val="left"/>
                  <w:rPr>
                    <w:b/>
                    <w:sz w:val="38"/>
                  </w:rPr>
                </w:pPr>
                <w:r>
                  <w:rPr>
                    <w:b/>
                    <w:color w:val="DD0000"/>
                    <w:sz w:val="38"/>
                  </w:rPr>
                  <w:t>Environmental</w:t>
                </w:r>
              </w:p>
            </w:txbxContent>
          </v:textbox>
          <w10:wrap type="none"/>
        </v:shape>
      </w:pict>
    </w:r>
    <w:r>
      <w:rPr/>
      <w:pict>
        <v:shape style="position:absolute;margin-left:373.173187pt;margin-top:78.545921pt;width:120.3pt;height:23.25pt;mso-position-horizontal-relative:page;mso-position-vertical-relative:page;z-index:-15924224" type="#_x0000_t202" filled="false" stroked="false">
          <v:textbox inset="0,0,0,0">
            <w:txbxContent>
              <w:p>
                <w:pPr>
                  <w:spacing w:before="7"/>
                  <w:ind w:left="20" w:right="0" w:firstLine="0"/>
                  <w:jc w:val="left"/>
                  <w:rPr>
                    <w:b/>
                    <w:sz w:val="38"/>
                  </w:rPr>
                </w:pPr>
                <w:r>
                  <w:rPr>
                    <w:b/>
                    <w:color w:val="DD0000"/>
                    <w:sz w:val="38"/>
                  </w:rPr>
                  <w:t>Publicity and</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638" w:hanging="511"/>
      </w:pPr>
      <w:rPr>
        <w:rFonts w:hint="default" w:ascii="Arial" w:hAnsi="Arial" w:eastAsia="Arial" w:cs="Arial"/>
        <w:color w:val="231F20"/>
        <w:w w:val="99"/>
        <w:sz w:val="22"/>
        <w:szCs w:val="22"/>
        <w:lang w:val="en-us" w:eastAsia="en-US" w:bidi="ar-SA"/>
      </w:rPr>
    </w:lvl>
    <w:lvl w:ilvl="1">
      <w:start w:val="0"/>
      <w:numFmt w:val="bullet"/>
      <w:lvlText w:val="•"/>
      <w:lvlJc w:val="left"/>
      <w:pPr>
        <w:ind w:left="1103" w:hanging="511"/>
      </w:pPr>
      <w:rPr>
        <w:rFonts w:hint="default"/>
        <w:lang w:val="en-us" w:eastAsia="en-US" w:bidi="ar-SA"/>
      </w:rPr>
    </w:lvl>
    <w:lvl w:ilvl="2">
      <w:start w:val="0"/>
      <w:numFmt w:val="bullet"/>
      <w:lvlText w:val="•"/>
      <w:lvlJc w:val="left"/>
      <w:pPr>
        <w:ind w:left="1567" w:hanging="511"/>
      </w:pPr>
      <w:rPr>
        <w:rFonts w:hint="default"/>
        <w:lang w:val="en-us" w:eastAsia="en-US" w:bidi="ar-SA"/>
      </w:rPr>
    </w:lvl>
    <w:lvl w:ilvl="3">
      <w:start w:val="0"/>
      <w:numFmt w:val="bullet"/>
      <w:lvlText w:val="•"/>
      <w:lvlJc w:val="left"/>
      <w:pPr>
        <w:ind w:left="2030" w:hanging="511"/>
      </w:pPr>
      <w:rPr>
        <w:rFonts w:hint="default"/>
        <w:lang w:val="en-us" w:eastAsia="en-US" w:bidi="ar-SA"/>
      </w:rPr>
    </w:lvl>
    <w:lvl w:ilvl="4">
      <w:start w:val="0"/>
      <w:numFmt w:val="bullet"/>
      <w:lvlText w:val="•"/>
      <w:lvlJc w:val="left"/>
      <w:pPr>
        <w:ind w:left="2494" w:hanging="511"/>
      </w:pPr>
      <w:rPr>
        <w:rFonts w:hint="default"/>
        <w:lang w:val="en-us" w:eastAsia="en-US" w:bidi="ar-SA"/>
      </w:rPr>
    </w:lvl>
    <w:lvl w:ilvl="5">
      <w:start w:val="0"/>
      <w:numFmt w:val="bullet"/>
      <w:lvlText w:val="•"/>
      <w:lvlJc w:val="left"/>
      <w:pPr>
        <w:ind w:left="2958" w:hanging="511"/>
      </w:pPr>
      <w:rPr>
        <w:rFonts w:hint="default"/>
        <w:lang w:val="en-us" w:eastAsia="en-US" w:bidi="ar-SA"/>
      </w:rPr>
    </w:lvl>
    <w:lvl w:ilvl="6">
      <w:start w:val="0"/>
      <w:numFmt w:val="bullet"/>
      <w:lvlText w:val="•"/>
      <w:lvlJc w:val="left"/>
      <w:pPr>
        <w:ind w:left="3421" w:hanging="511"/>
      </w:pPr>
      <w:rPr>
        <w:rFonts w:hint="default"/>
        <w:lang w:val="en-us" w:eastAsia="en-US" w:bidi="ar-SA"/>
      </w:rPr>
    </w:lvl>
    <w:lvl w:ilvl="7">
      <w:start w:val="0"/>
      <w:numFmt w:val="bullet"/>
      <w:lvlText w:val="•"/>
      <w:lvlJc w:val="left"/>
      <w:pPr>
        <w:ind w:left="3885" w:hanging="511"/>
      </w:pPr>
      <w:rPr>
        <w:rFonts w:hint="default"/>
        <w:lang w:val="en-us" w:eastAsia="en-US" w:bidi="ar-SA"/>
      </w:rPr>
    </w:lvl>
    <w:lvl w:ilvl="8">
      <w:start w:val="0"/>
      <w:numFmt w:val="bullet"/>
      <w:lvlText w:val="•"/>
      <w:lvlJc w:val="left"/>
      <w:pPr>
        <w:ind w:left="4348" w:hanging="511"/>
      </w:pPr>
      <w:rPr>
        <w:rFonts w:hint="default"/>
        <w:lang w:val="en-us" w:eastAsia="en-US" w:bidi="ar-SA"/>
      </w:rPr>
    </w:lvl>
  </w:abstractNum>
  <w:abstractNum w:abstractNumId="0">
    <w:multiLevelType w:val="hybridMultilevel"/>
    <w:lvl w:ilvl="0">
      <w:start w:val="0"/>
      <w:numFmt w:val="bullet"/>
      <w:lvlText w:val="•"/>
      <w:lvlJc w:val="left"/>
      <w:pPr>
        <w:ind w:left="1205" w:hanging="511"/>
      </w:pPr>
      <w:rPr>
        <w:rFonts w:hint="default" w:ascii="Arial" w:hAnsi="Arial" w:eastAsia="Arial" w:cs="Arial"/>
        <w:color w:val="231F20"/>
        <w:w w:val="99"/>
        <w:sz w:val="22"/>
        <w:szCs w:val="22"/>
        <w:lang w:val="en-us" w:eastAsia="en-US" w:bidi="ar-SA"/>
      </w:rPr>
    </w:lvl>
    <w:lvl w:ilvl="1">
      <w:start w:val="0"/>
      <w:numFmt w:val="bullet"/>
      <w:lvlText w:val="•"/>
      <w:lvlJc w:val="left"/>
      <w:pPr>
        <w:ind w:left="2176" w:hanging="511"/>
      </w:pPr>
      <w:rPr>
        <w:rFonts w:hint="default"/>
        <w:lang w:val="en-us" w:eastAsia="en-US" w:bidi="ar-SA"/>
      </w:rPr>
    </w:lvl>
    <w:lvl w:ilvl="2">
      <w:start w:val="0"/>
      <w:numFmt w:val="bullet"/>
      <w:lvlText w:val="•"/>
      <w:lvlJc w:val="left"/>
      <w:pPr>
        <w:ind w:left="3153" w:hanging="511"/>
      </w:pPr>
      <w:rPr>
        <w:rFonts w:hint="default"/>
        <w:lang w:val="en-us" w:eastAsia="en-US" w:bidi="ar-SA"/>
      </w:rPr>
    </w:lvl>
    <w:lvl w:ilvl="3">
      <w:start w:val="0"/>
      <w:numFmt w:val="bullet"/>
      <w:lvlText w:val="•"/>
      <w:lvlJc w:val="left"/>
      <w:pPr>
        <w:ind w:left="4129" w:hanging="511"/>
      </w:pPr>
      <w:rPr>
        <w:rFonts w:hint="default"/>
        <w:lang w:val="en-us" w:eastAsia="en-US" w:bidi="ar-SA"/>
      </w:rPr>
    </w:lvl>
    <w:lvl w:ilvl="4">
      <w:start w:val="0"/>
      <w:numFmt w:val="bullet"/>
      <w:lvlText w:val="•"/>
      <w:lvlJc w:val="left"/>
      <w:pPr>
        <w:ind w:left="5106" w:hanging="511"/>
      </w:pPr>
      <w:rPr>
        <w:rFonts w:hint="default"/>
        <w:lang w:val="en-us" w:eastAsia="en-US" w:bidi="ar-SA"/>
      </w:rPr>
    </w:lvl>
    <w:lvl w:ilvl="5">
      <w:start w:val="0"/>
      <w:numFmt w:val="bullet"/>
      <w:lvlText w:val="•"/>
      <w:lvlJc w:val="left"/>
      <w:pPr>
        <w:ind w:left="6082" w:hanging="511"/>
      </w:pPr>
      <w:rPr>
        <w:rFonts w:hint="default"/>
        <w:lang w:val="en-us" w:eastAsia="en-US" w:bidi="ar-SA"/>
      </w:rPr>
    </w:lvl>
    <w:lvl w:ilvl="6">
      <w:start w:val="0"/>
      <w:numFmt w:val="bullet"/>
      <w:lvlText w:val="•"/>
      <w:lvlJc w:val="left"/>
      <w:pPr>
        <w:ind w:left="7059" w:hanging="511"/>
      </w:pPr>
      <w:rPr>
        <w:rFonts w:hint="default"/>
        <w:lang w:val="en-us" w:eastAsia="en-US" w:bidi="ar-SA"/>
      </w:rPr>
    </w:lvl>
    <w:lvl w:ilvl="7">
      <w:start w:val="0"/>
      <w:numFmt w:val="bullet"/>
      <w:lvlText w:val="•"/>
      <w:lvlJc w:val="left"/>
      <w:pPr>
        <w:ind w:left="8035" w:hanging="511"/>
      </w:pPr>
      <w:rPr>
        <w:rFonts w:hint="default"/>
        <w:lang w:val="en-us" w:eastAsia="en-US" w:bidi="ar-SA"/>
      </w:rPr>
    </w:lvl>
    <w:lvl w:ilvl="8">
      <w:start w:val="0"/>
      <w:numFmt w:val="bullet"/>
      <w:lvlText w:val="•"/>
      <w:lvlJc w:val="left"/>
      <w:pPr>
        <w:ind w:left="9012" w:hanging="511"/>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7"/>
      <w:ind w:left="20"/>
      <w:outlineLvl w:val="1"/>
    </w:pPr>
    <w:rPr>
      <w:rFonts w:ascii="Arial" w:hAnsi="Arial" w:eastAsia="Arial" w:cs="Arial"/>
      <w:b/>
      <w:bCs/>
      <w:sz w:val="38"/>
      <w:szCs w:val="38"/>
      <w:lang w:val="en-us" w:eastAsia="en-US" w:bidi="ar-SA"/>
    </w:rPr>
  </w:style>
  <w:style w:styleId="Title" w:type="paragraph">
    <w:name w:val="Title"/>
    <w:basedOn w:val="Normal"/>
    <w:uiPriority w:val="1"/>
    <w:qFormat/>
    <w:pPr>
      <w:spacing w:before="29"/>
      <w:ind w:left="140"/>
    </w:pPr>
    <w:rPr>
      <w:rFonts w:ascii="Trebuchet MS" w:hAnsi="Trebuchet MS" w:eastAsia="Trebuchet MS" w:cs="Trebuchet MS"/>
      <w:b/>
      <w:bCs/>
      <w:sz w:val="74"/>
      <w:szCs w:val="74"/>
      <w:lang w:val="en-us" w:eastAsia="en-US" w:bidi="ar-SA"/>
    </w:rPr>
  </w:style>
  <w:style w:styleId="ListParagraph" w:type="paragraph">
    <w:name w:val="List Paragraph"/>
    <w:basedOn w:val="Normal"/>
    <w:uiPriority w:val="1"/>
    <w:qFormat/>
    <w:pPr>
      <w:ind w:left="638" w:hanging="511"/>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customXml" Target="../customXml/item3.xml"/><Relationship Id="rId3" Type="http://schemas.openxmlformats.org/officeDocument/2006/relationships/theme" Target="theme/theme1.xml"/><Relationship Id="rId21" Type="http://schemas.openxmlformats.org/officeDocument/2006/relationships/hyperlink" Target="mailto:Ethics@qr.com.au" TargetMode="External"/><Relationship Id="rId7" Type="http://schemas.openxmlformats.org/officeDocument/2006/relationships/image" Target="media/image4.png"/><Relationship Id="rId12" Type="http://schemas.openxmlformats.org/officeDocument/2006/relationships/header" Target="header3.xml"/><Relationship Id="rId17" Type="http://schemas.openxmlformats.org/officeDocument/2006/relationships/image" Target="media/image12.png"/><Relationship Id="rId25" Type="http://schemas.openxmlformats.org/officeDocument/2006/relationships/customXml" Target="../customXml/item2.xml"/><Relationship Id="rId2" Type="http://schemas.openxmlformats.org/officeDocument/2006/relationships/fontTable" Target="fontTable.xml"/><Relationship Id="rId16" Type="http://schemas.openxmlformats.org/officeDocument/2006/relationships/header" Target="header4.xml"/><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8.png"/><Relationship Id="rId24" Type="http://schemas.openxmlformats.org/officeDocument/2006/relationships/customXml" Target="../customXml/item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numbering" Target="numbering.xml"/><Relationship Id="rId10" Type="http://schemas.openxmlformats.org/officeDocument/2006/relationships/image" Target="media/image7.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0.png"/><Relationship Id="rId22" Type="http://schemas.openxmlformats.org/officeDocument/2006/relationships/hyperlink" Target="mailto:qr@stopline.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34EFC6C130A9488EF2BFB688F899EB" ma:contentTypeVersion="6" ma:contentTypeDescription="Create a new document." ma:contentTypeScope="" ma:versionID="6892d529db107b87726f79f8e6589013">
  <xsd:schema xmlns:xsd="http://www.w3.org/2001/XMLSchema" xmlns:xs="http://www.w3.org/2001/XMLSchema" xmlns:p="http://schemas.microsoft.com/office/2006/metadata/properties" xmlns:ns1="http://schemas.microsoft.com/sharepoint/v3" targetNamespace="http://schemas.microsoft.com/office/2006/metadata/properties" ma:root="true" ma:fieldsID="ee313892ee7e5c81de75a6c9d6d84b6f"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6B2CB23-74EA-4E47-A962-066F430749C5}"/>
</file>

<file path=customXml/itemProps2.xml><?xml version="1.0" encoding="utf-8"?>
<ds:datastoreItem xmlns:ds="http://schemas.openxmlformats.org/officeDocument/2006/customXml" ds:itemID="{1EDFD121-B168-419E-9480-11AE59F4AE3E}"/>
</file>

<file path=customXml/itemProps3.xml><?xml version="1.0" encoding="utf-8"?>
<ds:datastoreItem xmlns:ds="http://schemas.openxmlformats.org/officeDocument/2006/customXml" ds:itemID="{510D6C4B-3CD3-4663-9951-BC13BE028E7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2020-10-12T22:37:06Z</dcterms:created>
  <dcterms:modified xsi:type="dcterms:W3CDTF">2020-10-12T22:37:06Z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2020-07-30T00:00:00Z</vt:filetime>
  </property>
  <property fmtid="{D5CDD505-2E9C-101B-9397-08002B2CF9AE}" pid="3" name="Creator">
    <vt:lpwstr>Adobe InDesign 15.1 (Macintosh)</vt:lpwstr>
  </property>
  <property fmtid="{D5CDD505-2E9C-101B-9397-08002B2CF9AE}" pid="4" name="LastSaved">
    <vt:filetime>2020-10-12T00:00:00Z</vt:filetime>
  </property>
  <property fmtid="{D5CDD505-2E9C-101B-9397-08002B2CF9AE}" pid="5" name="ContentTypeId">
    <vt:lpwstr>0x0101001334EFC6C130A9488EF2BFB688F899EB</vt:lpwstr>
  </property>
</Properties>
</file>