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auto" w:before="188"/>
        <w:ind w:left="255" w:right="2690" w:firstLine="0"/>
        <w:jc w:val="left"/>
        <w:rPr>
          <w:b/>
          <w:sz w:val="72"/>
        </w:rPr>
      </w:pPr>
      <w:r>
        <w:rPr/>
        <w:pict>
          <v:group style="position:absolute;margin-left:-7.5pt;margin-top:-.912617pt;width:610.3pt;height:126.6pt;mso-position-horizontal-relative:page;mso-position-vertical-relative:paragraph;z-index:-6736" coordorigin="-150,-18" coordsize="12206,2532">
            <v:shape style="position:absolute;left:8239;top:-19;width:3667;height:2382" type="#_x0000_t75" stroked="false">
              <v:imagedata r:id="rId5" o:title=""/>
            </v:shape>
            <v:rect style="position:absolute;left:0;top:-19;width:8292;height:2203" filled="true" fillcolor="#d92231" stroked="false">
              <v:fill type="solid"/>
            </v:rect>
            <v:line style="position:absolute" from="0,2363" to="11906,2335" stroked="true" strokeweight="15.0pt" strokecolor="#58595b">
              <v:stroke dashstyle="solid"/>
            </v:line>
            <w10:wrap type="none"/>
          </v:group>
        </w:pict>
      </w:r>
      <w:r>
        <w:rPr>
          <w:b/>
          <w:color w:val="FFFFFF"/>
          <w:sz w:val="72"/>
        </w:rPr>
        <w:t>Boondall station accessibility upgrade</w:t>
      </w:r>
    </w:p>
    <w:p>
      <w:pPr>
        <w:pStyle w:val="Heading1"/>
        <w:spacing w:before="309"/>
      </w:pPr>
      <w:r>
        <w:rPr>
          <w:color w:val="FFFFFF"/>
        </w:rPr>
        <w:t>PROJECT UPDATE – NOVEMBER 2018</w:t>
      </w:r>
    </w:p>
    <w:p>
      <w:pPr>
        <w:pStyle w:val="BodyText"/>
        <w:spacing w:before="5"/>
        <w:ind w:left="0"/>
        <w:rPr>
          <w:b/>
          <w:sz w:val="24"/>
        </w:rPr>
      </w:pPr>
    </w:p>
    <w:p>
      <w:pPr>
        <w:spacing w:line="254" w:lineRule="auto" w:before="0"/>
        <w:ind w:left="311" w:right="401" w:firstLine="0"/>
        <w:jc w:val="left"/>
        <w:rPr>
          <w:b/>
          <w:sz w:val="28"/>
        </w:rPr>
      </w:pPr>
      <w:r>
        <w:rPr>
          <w:b/>
          <w:color w:val="58595B"/>
          <w:sz w:val="28"/>
        </w:rPr>
        <w:t>The Boondall station accessibility upgrade is part of Queensland Rail’s $300 million program to upgrade stations across the network, making them accessible for all customers.</w:t>
      </w:r>
    </w:p>
    <w:p>
      <w:pPr>
        <w:spacing w:after="0" w:line="254" w:lineRule="auto"/>
        <w:jc w:val="left"/>
        <w:rPr>
          <w:sz w:val="28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266" w:lineRule="auto" w:before="205"/>
        <w:ind w:right="-7"/>
      </w:pPr>
      <w:r>
        <w:rPr>
          <w:color w:val="58595B"/>
          <w:w w:val="105"/>
        </w:rPr>
        <w:t>Major works are about to begin on the accessibility upgrade at Boondall station. Early works undertaken to date have included laying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foundations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relocation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overhead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electrification equipment to enable the raising of the platform around the assisted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boarding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point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(see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photos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below).</w:t>
      </w:r>
    </w:p>
    <w:p>
      <w:pPr>
        <w:pStyle w:val="Heading1"/>
      </w:pPr>
      <w:r>
        <w:rPr>
          <w:color w:val="58595B"/>
        </w:rPr>
        <w:t>Upcoming works</w:t>
      </w:r>
    </w:p>
    <w:p>
      <w:pPr>
        <w:pStyle w:val="BodyText"/>
        <w:spacing w:line="261" w:lineRule="auto" w:before="168"/>
        <w:ind w:right="817"/>
      </w:pPr>
      <w:r>
        <w:rPr>
          <w:color w:val="58595B"/>
          <w:w w:val="105"/>
        </w:rPr>
        <w:t>From Monday 12 November 2018, customers and the community can expect to see the following activities:</w:t>
      </w: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61" w:lineRule="auto" w:before="160" w:after="0"/>
        <w:ind w:left="791" w:right="164" w:hanging="254"/>
        <w:jc w:val="left"/>
        <w:rPr>
          <w:sz w:val="19"/>
        </w:rPr>
      </w:pPr>
      <w:r>
        <w:rPr>
          <w:color w:val="58595B"/>
          <w:w w:val="105"/>
          <w:sz w:val="19"/>
        </w:rPr>
        <w:t>set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w w:val="105"/>
          <w:sz w:val="19"/>
        </w:rPr>
        <w:t>up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w w:val="105"/>
          <w:sz w:val="19"/>
        </w:rPr>
        <w:t>of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w w:val="105"/>
          <w:sz w:val="19"/>
        </w:rPr>
        <w:t>the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w w:val="105"/>
          <w:sz w:val="19"/>
        </w:rPr>
        <w:t>site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w w:val="105"/>
          <w:sz w:val="19"/>
        </w:rPr>
        <w:t>compound,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w w:val="105"/>
          <w:sz w:val="19"/>
        </w:rPr>
        <w:t>located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w w:val="105"/>
          <w:sz w:val="19"/>
        </w:rPr>
        <w:t>between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w w:val="105"/>
          <w:sz w:val="19"/>
        </w:rPr>
        <w:t>Stanworth Road</w:t>
      </w:r>
      <w:r>
        <w:rPr>
          <w:color w:val="58595B"/>
          <w:spacing w:val="-15"/>
          <w:w w:val="105"/>
          <w:sz w:val="19"/>
        </w:rPr>
        <w:t> </w:t>
      </w:r>
      <w:r>
        <w:rPr>
          <w:color w:val="58595B"/>
          <w:w w:val="105"/>
          <w:sz w:val="19"/>
        </w:rPr>
        <w:t>and</w:t>
      </w:r>
      <w:r>
        <w:rPr>
          <w:color w:val="58595B"/>
          <w:spacing w:val="-15"/>
          <w:w w:val="105"/>
          <w:sz w:val="19"/>
        </w:rPr>
        <w:t> </w:t>
      </w:r>
      <w:r>
        <w:rPr>
          <w:color w:val="58595B"/>
          <w:w w:val="105"/>
          <w:sz w:val="19"/>
        </w:rPr>
        <w:t>the</w:t>
      </w:r>
      <w:r>
        <w:rPr>
          <w:color w:val="58595B"/>
          <w:spacing w:val="-15"/>
          <w:w w:val="105"/>
          <w:sz w:val="19"/>
        </w:rPr>
        <w:t> </w:t>
      </w:r>
      <w:r>
        <w:rPr>
          <w:color w:val="58595B"/>
          <w:w w:val="105"/>
          <w:sz w:val="19"/>
        </w:rPr>
        <w:t>station</w:t>
      </w:r>
      <w:r>
        <w:rPr>
          <w:color w:val="58595B"/>
          <w:spacing w:val="-15"/>
          <w:w w:val="105"/>
          <w:sz w:val="19"/>
        </w:rPr>
        <w:t> </w:t>
      </w:r>
      <w:r>
        <w:rPr>
          <w:color w:val="58595B"/>
          <w:w w:val="105"/>
          <w:sz w:val="19"/>
        </w:rPr>
        <w:t>office</w:t>
      </w: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61" w:lineRule="auto" w:before="80" w:after="0"/>
        <w:ind w:left="791" w:right="29" w:hanging="254"/>
        <w:jc w:val="left"/>
        <w:rPr>
          <w:sz w:val="19"/>
        </w:rPr>
      </w:pPr>
      <w:r>
        <w:rPr>
          <w:color w:val="58595B"/>
          <w:w w:val="105"/>
          <w:sz w:val="19"/>
        </w:rPr>
        <w:t>installation</w:t>
      </w:r>
      <w:r>
        <w:rPr>
          <w:color w:val="58595B"/>
          <w:spacing w:val="-10"/>
          <w:w w:val="105"/>
          <w:sz w:val="19"/>
        </w:rPr>
        <w:t> </w:t>
      </w:r>
      <w:r>
        <w:rPr>
          <w:color w:val="58595B"/>
          <w:w w:val="105"/>
          <w:sz w:val="19"/>
        </w:rPr>
        <w:t>of</w:t>
      </w:r>
      <w:r>
        <w:rPr>
          <w:color w:val="58595B"/>
          <w:spacing w:val="-10"/>
          <w:w w:val="105"/>
          <w:sz w:val="19"/>
        </w:rPr>
        <w:t> </w:t>
      </w:r>
      <w:r>
        <w:rPr>
          <w:color w:val="58595B"/>
          <w:w w:val="105"/>
          <w:sz w:val="19"/>
        </w:rPr>
        <w:t>safety</w:t>
      </w:r>
      <w:r>
        <w:rPr>
          <w:color w:val="58595B"/>
          <w:spacing w:val="-10"/>
          <w:w w:val="105"/>
          <w:sz w:val="19"/>
        </w:rPr>
        <w:t> </w:t>
      </w:r>
      <w:r>
        <w:rPr>
          <w:color w:val="58595B"/>
          <w:w w:val="105"/>
          <w:sz w:val="19"/>
        </w:rPr>
        <w:t>fencing</w:t>
      </w:r>
      <w:r>
        <w:rPr>
          <w:color w:val="58595B"/>
          <w:spacing w:val="-10"/>
          <w:w w:val="105"/>
          <w:sz w:val="19"/>
        </w:rPr>
        <w:t> </w:t>
      </w:r>
      <w:r>
        <w:rPr>
          <w:color w:val="58595B"/>
          <w:w w:val="105"/>
          <w:sz w:val="19"/>
        </w:rPr>
        <w:t>on</w:t>
      </w:r>
      <w:r>
        <w:rPr>
          <w:color w:val="58595B"/>
          <w:spacing w:val="-10"/>
          <w:w w:val="105"/>
          <w:sz w:val="19"/>
        </w:rPr>
        <w:t> </w:t>
      </w:r>
      <w:r>
        <w:rPr>
          <w:color w:val="58595B"/>
          <w:w w:val="105"/>
          <w:sz w:val="19"/>
        </w:rPr>
        <w:t>both</w:t>
      </w:r>
      <w:r>
        <w:rPr>
          <w:color w:val="58595B"/>
          <w:spacing w:val="-10"/>
          <w:w w:val="105"/>
          <w:sz w:val="19"/>
        </w:rPr>
        <w:t> </w:t>
      </w:r>
      <w:r>
        <w:rPr>
          <w:color w:val="58595B"/>
          <w:w w:val="105"/>
          <w:sz w:val="19"/>
        </w:rPr>
        <w:t>sides</w:t>
      </w:r>
      <w:r>
        <w:rPr>
          <w:color w:val="58595B"/>
          <w:spacing w:val="-10"/>
          <w:w w:val="105"/>
          <w:sz w:val="19"/>
        </w:rPr>
        <w:t> </w:t>
      </w:r>
      <w:r>
        <w:rPr>
          <w:color w:val="58595B"/>
          <w:w w:val="105"/>
          <w:sz w:val="19"/>
        </w:rPr>
        <w:t>of</w:t>
      </w:r>
      <w:r>
        <w:rPr>
          <w:color w:val="58595B"/>
          <w:spacing w:val="-10"/>
          <w:w w:val="105"/>
          <w:sz w:val="19"/>
        </w:rPr>
        <w:t> </w:t>
      </w:r>
      <w:r>
        <w:rPr>
          <w:color w:val="58595B"/>
          <w:w w:val="105"/>
          <w:sz w:val="19"/>
        </w:rPr>
        <w:t>the</w:t>
      </w:r>
      <w:r>
        <w:rPr>
          <w:color w:val="58595B"/>
          <w:spacing w:val="-10"/>
          <w:w w:val="105"/>
          <w:sz w:val="19"/>
        </w:rPr>
        <w:t> </w:t>
      </w:r>
      <w:r>
        <w:rPr>
          <w:color w:val="58595B"/>
          <w:w w:val="105"/>
          <w:sz w:val="19"/>
        </w:rPr>
        <w:t>platform and</w:t>
      </w:r>
      <w:r>
        <w:rPr>
          <w:color w:val="58595B"/>
          <w:spacing w:val="-8"/>
          <w:w w:val="105"/>
          <w:sz w:val="19"/>
        </w:rPr>
        <w:t> </w:t>
      </w:r>
      <w:r>
        <w:rPr>
          <w:color w:val="58595B"/>
          <w:w w:val="105"/>
          <w:sz w:val="19"/>
        </w:rPr>
        <w:t>along</w:t>
      </w:r>
      <w:r>
        <w:rPr>
          <w:color w:val="58595B"/>
          <w:spacing w:val="-8"/>
          <w:w w:val="105"/>
          <w:sz w:val="19"/>
        </w:rPr>
        <w:t> </w:t>
      </w:r>
      <w:r>
        <w:rPr>
          <w:color w:val="58595B"/>
          <w:w w:val="105"/>
          <w:sz w:val="19"/>
        </w:rPr>
        <w:t>the</w:t>
      </w:r>
      <w:r>
        <w:rPr>
          <w:color w:val="58595B"/>
          <w:spacing w:val="-8"/>
          <w:w w:val="105"/>
          <w:sz w:val="19"/>
        </w:rPr>
        <w:t> </w:t>
      </w:r>
      <w:r>
        <w:rPr>
          <w:color w:val="58595B"/>
          <w:w w:val="105"/>
          <w:sz w:val="19"/>
        </w:rPr>
        <w:t>designated</w:t>
      </w:r>
      <w:r>
        <w:rPr>
          <w:color w:val="58595B"/>
          <w:spacing w:val="-8"/>
          <w:w w:val="105"/>
          <w:sz w:val="19"/>
        </w:rPr>
        <w:t> </w:t>
      </w:r>
      <w:r>
        <w:rPr>
          <w:color w:val="58595B"/>
          <w:w w:val="105"/>
          <w:sz w:val="19"/>
        </w:rPr>
        <w:t>works</w:t>
      </w:r>
      <w:r>
        <w:rPr>
          <w:color w:val="58595B"/>
          <w:spacing w:val="-8"/>
          <w:w w:val="105"/>
          <w:sz w:val="19"/>
        </w:rPr>
        <w:t> </w:t>
      </w:r>
      <w:r>
        <w:rPr>
          <w:color w:val="58595B"/>
          <w:w w:val="105"/>
          <w:sz w:val="19"/>
        </w:rPr>
        <w:t>area</w:t>
      </w:r>
      <w:r>
        <w:rPr>
          <w:color w:val="58595B"/>
          <w:spacing w:val="-8"/>
          <w:w w:val="105"/>
          <w:sz w:val="19"/>
        </w:rPr>
        <w:t> </w:t>
      </w:r>
      <w:r>
        <w:rPr>
          <w:color w:val="58595B"/>
          <w:w w:val="105"/>
          <w:sz w:val="19"/>
        </w:rPr>
        <w:t>on</w:t>
      </w:r>
      <w:r>
        <w:rPr>
          <w:color w:val="58595B"/>
          <w:spacing w:val="-8"/>
          <w:w w:val="105"/>
          <w:sz w:val="19"/>
        </w:rPr>
        <w:t> </w:t>
      </w:r>
      <w:r>
        <w:rPr>
          <w:color w:val="58595B"/>
          <w:w w:val="105"/>
          <w:sz w:val="19"/>
        </w:rPr>
        <w:t>Aberdeen</w:t>
      </w:r>
      <w:r>
        <w:rPr>
          <w:color w:val="58595B"/>
          <w:spacing w:val="-8"/>
          <w:w w:val="105"/>
          <w:sz w:val="19"/>
        </w:rPr>
        <w:t> </w:t>
      </w:r>
      <w:r>
        <w:rPr>
          <w:color w:val="58595B"/>
          <w:spacing w:val="-2"/>
          <w:w w:val="105"/>
          <w:sz w:val="19"/>
        </w:rPr>
        <w:t>Parade </w:t>
      </w:r>
      <w:r>
        <w:rPr>
          <w:color w:val="58595B"/>
          <w:w w:val="105"/>
          <w:sz w:val="19"/>
        </w:rPr>
        <w:t>(this will temporarily remove approximately 12 informal parking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w w:val="105"/>
          <w:sz w:val="19"/>
        </w:rPr>
        <w:t>spaces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spacing w:val="-3"/>
          <w:w w:val="105"/>
          <w:sz w:val="19"/>
        </w:rPr>
        <w:t>for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w w:val="105"/>
          <w:sz w:val="19"/>
        </w:rPr>
        <w:t>the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w w:val="105"/>
          <w:sz w:val="19"/>
        </w:rPr>
        <w:t>duration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w w:val="105"/>
          <w:sz w:val="19"/>
        </w:rPr>
        <w:t>of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w w:val="105"/>
          <w:sz w:val="19"/>
        </w:rPr>
        <w:t>works)</w:t>
      </w: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80" w:after="0"/>
        <w:ind w:left="791" w:right="0" w:hanging="254"/>
        <w:jc w:val="left"/>
        <w:rPr>
          <w:sz w:val="19"/>
        </w:rPr>
      </w:pPr>
      <w:r>
        <w:rPr>
          <w:color w:val="58595B"/>
          <w:w w:val="105"/>
          <w:sz w:val="19"/>
        </w:rPr>
        <w:t>utility</w:t>
      </w:r>
      <w:r>
        <w:rPr>
          <w:color w:val="58595B"/>
          <w:spacing w:val="-10"/>
          <w:w w:val="105"/>
          <w:sz w:val="19"/>
        </w:rPr>
        <w:t> </w:t>
      </w:r>
      <w:r>
        <w:rPr>
          <w:color w:val="58595B"/>
          <w:w w:val="105"/>
          <w:sz w:val="19"/>
        </w:rPr>
        <w:t>works</w:t>
      </w:r>
      <w:r>
        <w:rPr>
          <w:color w:val="58595B"/>
          <w:spacing w:val="-10"/>
          <w:w w:val="105"/>
          <w:sz w:val="19"/>
        </w:rPr>
        <w:t> </w:t>
      </w:r>
      <w:r>
        <w:rPr>
          <w:color w:val="58595B"/>
          <w:w w:val="105"/>
          <w:sz w:val="19"/>
        </w:rPr>
        <w:t>on</w:t>
      </w:r>
      <w:r>
        <w:rPr>
          <w:color w:val="58595B"/>
          <w:spacing w:val="-10"/>
          <w:w w:val="105"/>
          <w:sz w:val="19"/>
        </w:rPr>
        <w:t> </w:t>
      </w:r>
      <w:r>
        <w:rPr>
          <w:color w:val="58595B"/>
          <w:w w:val="105"/>
          <w:sz w:val="19"/>
        </w:rPr>
        <w:t>the</w:t>
      </w:r>
      <w:r>
        <w:rPr>
          <w:color w:val="58595B"/>
          <w:spacing w:val="-10"/>
          <w:w w:val="105"/>
          <w:sz w:val="19"/>
        </w:rPr>
        <w:t> </w:t>
      </w:r>
      <w:r>
        <w:rPr>
          <w:color w:val="58595B"/>
          <w:w w:val="105"/>
          <w:sz w:val="19"/>
        </w:rPr>
        <w:t>platform.</w:t>
      </w:r>
    </w:p>
    <w:p>
      <w:pPr>
        <w:pStyle w:val="BodyText"/>
        <w:spacing w:line="261" w:lineRule="auto" w:before="179"/>
        <w:ind w:right="-7"/>
      </w:pPr>
      <w:r>
        <w:rPr>
          <w:color w:val="58595B"/>
          <w:w w:val="105"/>
        </w:rPr>
        <w:t>The loop top bike rack within the works zone on Aberdeen </w:t>
      </w:r>
      <w:r>
        <w:rPr>
          <w:color w:val="58595B"/>
          <w:spacing w:val="-2"/>
          <w:w w:val="105"/>
        </w:rPr>
        <w:t>Parade </w:t>
      </w:r>
      <w:r>
        <w:rPr>
          <w:color w:val="58595B"/>
          <w:w w:val="105"/>
        </w:rPr>
        <w:t>will be temporarily relocated to the southern station entrance. There will also be no access to the </w:t>
      </w:r>
      <w:r>
        <w:rPr>
          <w:color w:val="58595B"/>
          <w:spacing w:val="-4"/>
          <w:w w:val="105"/>
        </w:rPr>
        <w:t>Telstra </w:t>
      </w:r>
      <w:r>
        <w:rPr>
          <w:color w:val="58595B"/>
          <w:w w:val="105"/>
        </w:rPr>
        <w:t>payphone on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Aberdeen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2"/>
          <w:w w:val="105"/>
        </w:rPr>
        <w:t>Parade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during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works,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however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payphone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the station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platform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will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continue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remain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accessible.</w:t>
      </w:r>
    </w:p>
    <w:p>
      <w:pPr>
        <w:pStyle w:val="Heading1"/>
        <w:spacing w:before="191"/>
      </w:pPr>
      <w:r>
        <w:rPr>
          <w:b w:val="0"/>
        </w:rPr>
        <w:br w:type="column"/>
      </w:r>
      <w:r>
        <w:rPr>
          <w:color w:val="58595B"/>
        </w:rPr>
        <w:t>Construction impacts</w:t>
      </w:r>
    </w:p>
    <w:p>
      <w:pPr>
        <w:pStyle w:val="BodyText"/>
        <w:spacing w:line="261" w:lineRule="auto" w:before="168"/>
        <w:ind w:right="594"/>
      </w:pPr>
      <w:r>
        <w:rPr>
          <w:color w:val="58595B"/>
          <w:w w:val="105"/>
        </w:rPr>
        <w:t>Normal working hours are 6am to 5pm, Monday to Saturday. Construction activities may involve:</w:t>
      </w: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160" w:after="0"/>
        <w:ind w:left="791" w:right="0" w:hanging="254"/>
        <w:jc w:val="left"/>
        <w:rPr>
          <w:sz w:val="19"/>
        </w:rPr>
      </w:pPr>
      <w:r>
        <w:rPr>
          <w:color w:val="58595B"/>
          <w:w w:val="105"/>
          <w:sz w:val="19"/>
        </w:rPr>
        <w:t>noise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w w:val="105"/>
          <w:sz w:val="19"/>
        </w:rPr>
        <w:t>associated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w w:val="105"/>
          <w:sz w:val="19"/>
        </w:rPr>
        <w:t>with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w w:val="105"/>
          <w:sz w:val="19"/>
        </w:rPr>
        <w:t>hand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w w:val="105"/>
          <w:sz w:val="19"/>
        </w:rPr>
        <w:t>tools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w w:val="105"/>
          <w:sz w:val="19"/>
        </w:rPr>
        <w:t>and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w w:val="105"/>
          <w:sz w:val="19"/>
        </w:rPr>
        <w:t>heavy</w:t>
      </w:r>
      <w:r>
        <w:rPr>
          <w:color w:val="58595B"/>
          <w:spacing w:val="-9"/>
          <w:w w:val="105"/>
          <w:sz w:val="19"/>
        </w:rPr>
        <w:t> </w:t>
      </w:r>
      <w:r>
        <w:rPr>
          <w:color w:val="58595B"/>
          <w:w w:val="105"/>
          <w:sz w:val="19"/>
        </w:rPr>
        <w:t>machinery</w:t>
      </w: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61" w:lineRule="auto" w:before="100" w:after="0"/>
        <w:ind w:left="791" w:right="371" w:hanging="254"/>
        <w:jc w:val="left"/>
        <w:rPr>
          <w:sz w:val="19"/>
        </w:rPr>
      </w:pPr>
      <w:r>
        <w:rPr>
          <w:color w:val="58595B"/>
          <w:w w:val="105"/>
          <w:sz w:val="19"/>
        </w:rPr>
        <w:t>temporary</w:t>
      </w:r>
      <w:r>
        <w:rPr>
          <w:color w:val="58595B"/>
          <w:spacing w:val="-11"/>
          <w:w w:val="105"/>
          <w:sz w:val="19"/>
        </w:rPr>
        <w:t> </w:t>
      </w:r>
      <w:r>
        <w:rPr>
          <w:color w:val="58595B"/>
          <w:w w:val="105"/>
          <w:sz w:val="19"/>
        </w:rPr>
        <w:t>changes</w:t>
      </w:r>
      <w:r>
        <w:rPr>
          <w:color w:val="58595B"/>
          <w:spacing w:val="-11"/>
          <w:w w:val="105"/>
          <w:sz w:val="19"/>
        </w:rPr>
        <w:t> </w:t>
      </w:r>
      <w:r>
        <w:rPr>
          <w:color w:val="58595B"/>
          <w:w w:val="105"/>
          <w:sz w:val="19"/>
        </w:rPr>
        <w:t>to</w:t>
      </w:r>
      <w:r>
        <w:rPr>
          <w:color w:val="58595B"/>
          <w:spacing w:val="-11"/>
          <w:w w:val="105"/>
          <w:sz w:val="19"/>
        </w:rPr>
        <w:t> </w:t>
      </w:r>
      <w:r>
        <w:rPr>
          <w:color w:val="58595B"/>
          <w:w w:val="105"/>
          <w:sz w:val="19"/>
        </w:rPr>
        <w:t>access</w:t>
      </w:r>
      <w:r>
        <w:rPr>
          <w:color w:val="58595B"/>
          <w:spacing w:val="-11"/>
          <w:w w:val="105"/>
          <w:sz w:val="19"/>
        </w:rPr>
        <w:t> </w:t>
      </w:r>
      <w:r>
        <w:rPr>
          <w:color w:val="58595B"/>
          <w:w w:val="105"/>
          <w:sz w:val="19"/>
        </w:rPr>
        <w:t>paths</w:t>
      </w:r>
      <w:r>
        <w:rPr>
          <w:color w:val="58595B"/>
          <w:spacing w:val="-11"/>
          <w:w w:val="105"/>
          <w:sz w:val="19"/>
        </w:rPr>
        <w:t> </w:t>
      </w:r>
      <w:r>
        <w:rPr>
          <w:color w:val="58595B"/>
          <w:w w:val="105"/>
          <w:sz w:val="19"/>
        </w:rPr>
        <w:t>throughout</w:t>
      </w:r>
      <w:r>
        <w:rPr>
          <w:color w:val="58595B"/>
          <w:spacing w:val="-11"/>
          <w:w w:val="105"/>
          <w:sz w:val="19"/>
        </w:rPr>
        <w:t> </w:t>
      </w:r>
      <w:r>
        <w:rPr>
          <w:color w:val="58595B"/>
          <w:w w:val="105"/>
          <w:sz w:val="19"/>
        </w:rPr>
        <w:t>the</w:t>
      </w:r>
      <w:r>
        <w:rPr>
          <w:color w:val="58595B"/>
          <w:spacing w:val="-11"/>
          <w:w w:val="105"/>
          <w:sz w:val="19"/>
        </w:rPr>
        <w:t> </w:t>
      </w:r>
      <w:r>
        <w:rPr>
          <w:color w:val="58595B"/>
          <w:w w:val="105"/>
          <w:sz w:val="19"/>
        </w:rPr>
        <w:t>station precinct</w:t>
      </w: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80" w:after="0"/>
        <w:ind w:left="791" w:right="0" w:hanging="254"/>
        <w:jc w:val="left"/>
        <w:rPr>
          <w:sz w:val="19"/>
        </w:rPr>
      </w:pPr>
      <w:r>
        <w:rPr>
          <w:color w:val="58595B"/>
          <w:w w:val="105"/>
          <w:sz w:val="19"/>
        </w:rPr>
        <w:t>changed</w:t>
      </w:r>
      <w:r>
        <w:rPr>
          <w:color w:val="58595B"/>
          <w:spacing w:val="-14"/>
          <w:w w:val="105"/>
          <w:sz w:val="19"/>
        </w:rPr>
        <w:t> </w:t>
      </w:r>
      <w:r>
        <w:rPr>
          <w:color w:val="58595B"/>
          <w:w w:val="105"/>
          <w:sz w:val="19"/>
        </w:rPr>
        <w:t>traffic</w:t>
      </w:r>
      <w:r>
        <w:rPr>
          <w:color w:val="58595B"/>
          <w:spacing w:val="-14"/>
          <w:w w:val="105"/>
          <w:sz w:val="19"/>
        </w:rPr>
        <w:t> </w:t>
      </w:r>
      <w:r>
        <w:rPr>
          <w:color w:val="58595B"/>
          <w:w w:val="105"/>
          <w:sz w:val="19"/>
        </w:rPr>
        <w:t>and</w:t>
      </w:r>
      <w:r>
        <w:rPr>
          <w:color w:val="58595B"/>
          <w:spacing w:val="-14"/>
          <w:w w:val="105"/>
          <w:sz w:val="19"/>
        </w:rPr>
        <w:t> </w:t>
      </w:r>
      <w:r>
        <w:rPr>
          <w:color w:val="58595B"/>
          <w:w w:val="105"/>
          <w:sz w:val="19"/>
        </w:rPr>
        <w:t>parking</w:t>
      </w:r>
      <w:r>
        <w:rPr>
          <w:color w:val="58595B"/>
          <w:spacing w:val="-14"/>
          <w:w w:val="105"/>
          <w:sz w:val="19"/>
        </w:rPr>
        <w:t> </w:t>
      </w:r>
      <w:r>
        <w:rPr>
          <w:color w:val="58595B"/>
          <w:w w:val="105"/>
          <w:sz w:val="19"/>
        </w:rPr>
        <w:t>conditions</w:t>
      </w:r>
      <w:r>
        <w:rPr>
          <w:color w:val="58595B"/>
          <w:spacing w:val="-14"/>
          <w:w w:val="105"/>
          <w:sz w:val="19"/>
        </w:rPr>
        <w:t> </w:t>
      </w:r>
      <w:r>
        <w:rPr>
          <w:color w:val="58595B"/>
          <w:w w:val="105"/>
          <w:sz w:val="19"/>
        </w:rPr>
        <w:t>on</w:t>
      </w:r>
      <w:r>
        <w:rPr>
          <w:color w:val="58595B"/>
          <w:spacing w:val="-14"/>
          <w:w w:val="105"/>
          <w:sz w:val="19"/>
        </w:rPr>
        <w:t> </w:t>
      </w:r>
      <w:r>
        <w:rPr>
          <w:color w:val="58595B"/>
          <w:w w:val="105"/>
          <w:sz w:val="19"/>
        </w:rPr>
        <w:t>Aberdeen</w:t>
      </w:r>
      <w:r>
        <w:rPr>
          <w:color w:val="58595B"/>
          <w:spacing w:val="-14"/>
          <w:w w:val="105"/>
          <w:sz w:val="19"/>
        </w:rPr>
        <w:t> </w:t>
      </w:r>
      <w:r>
        <w:rPr>
          <w:color w:val="58595B"/>
          <w:spacing w:val="-2"/>
          <w:w w:val="105"/>
          <w:sz w:val="19"/>
        </w:rPr>
        <w:t>Parade</w:t>
      </w: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99" w:after="0"/>
        <w:ind w:left="791" w:right="0" w:hanging="254"/>
        <w:jc w:val="left"/>
        <w:rPr>
          <w:sz w:val="19"/>
        </w:rPr>
      </w:pPr>
      <w:r>
        <w:rPr>
          <w:color w:val="58595B"/>
          <w:w w:val="105"/>
          <w:sz w:val="19"/>
        </w:rPr>
        <w:t>increased</w:t>
      </w:r>
      <w:r>
        <w:rPr>
          <w:color w:val="58595B"/>
          <w:spacing w:val="-12"/>
          <w:w w:val="105"/>
          <w:sz w:val="19"/>
        </w:rPr>
        <w:t> </w:t>
      </w:r>
      <w:r>
        <w:rPr>
          <w:color w:val="58595B"/>
          <w:w w:val="105"/>
          <w:sz w:val="19"/>
        </w:rPr>
        <w:t>site</w:t>
      </w:r>
      <w:r>
        <w:rPr>
          <w:color w:val="58595B"/>
          <w:spacing w:val="-12"/>
          <w:w w:val="105"/>
          <w:sz w:val="19"/>
        </w:rPr>
        <w:t> </w:t>
      </w:r>
      <w:r>
        <w:rPr>
          <w:color w:val="58595B"/>
          <w:w w:val="105"/>
          <w:sz w:val="19"/>
        </w:rPr>
        <w:t>personnel</w:t>
      </w:r>
      <w:r>
        <w:rPr>
          <w:color w:val="58595B"/>
          <w:spacing w:val="-12"/>
          <w:w w:val="105"/>
          <w:sz w:val="19"/>
        </w:rPr>
        <w:t> </w:t>
      </w:r>
      <w:r>
        <w:rPr>
          <w:color w:val="58595B"/>
          <w:w w:val="105"/>
          <w:sz w:val="19"/>
        </w:rPr>
        <w:t>and</w:t>
      </w:r>
      <w:r>
        <w:rPr>
          <w:color w:val="58595B"/>
          <w:spacing w:val="-12"/>
          <w:w w:val="105"/>
          <w:sz w:val="19"/>
        </w:rPr>
        <w:t> </w:t>
      </w:r>
      <w:r>
        <w:rPr>
          <w:color w:val="58595B"/>
          <w:w w:val="105"/>
          <w:sz w:val="19"/>
        </w:rPr>
        <w:t>vehicle</w:t>
      </w:r>
      <w:r>
        <w:rPr>
          <w:color w:val="58595B"/>
          <w:spacing w:val="-12"/>
          <w:w w:val="105"/>
          <w:sz w:val="19"/>
        </w:rPr>
        <w:t> </w:t>
      </w:r>
      <w:r>
        <w:rPr>
          <w:color w:val="58595B"/>
          <w:w w:val="105"/>
          <w:sz w:val="19"/>
        </w:rPr>
        <w:t>movements</w:t>
      </w:r>
      <w:r>
        <w:rPr>
          <w:color w:val="58595B"/>
          <w:spacing w:val="-12"/>
          <w:w w:val="105"/>
          <w:sz w:val="19"/>
        </w:rPr>
        <w:t> </w:t>
      </w:r>
      <w:r>
        <w:rPr>
          <w:color w:val="58595B"/>
          <w:w w:val="105"/>
          <w:sz w:val="19"/>
        </w:rPr>
        <w:t>near</w:t>
      </w:r>
      <w:r>
        <w:rPr>
          <w:color w:val="58595B"/>
          <w:spacing w:val="-12"/>
          <w:w w:val="105"/>
          <w:sz w:val="19"/>
        </w:rPr>
        <w:t> </w:t>
      </w:r>
      <w:r>
        <w:rPr>
          <w:color w:val="58595B"/>
          <w:w w:val="105"/>
          <w:sz w:val="19"/>
        </w:rPr>
        <w:t>works.</w:t>
      </w:r>
    </w:p>
    <w:p>
      <w:pPr>
        <w:pStyle w:val="BodyText"/>
        <w:spacing w:before="179"/>
      </w:pPr>
      <w:r>
        <w:rPr>
          <w:color w:val="58595B"/>
          <w:w w:val="105"/>
        </w:rPr>
        <w:t>Please take care around the work zones.</w:t>
      </w:r>
    </w:p>
    <w:p>
      <w:pPr>
        <w:pStyle w:val="BodyText"/>
        <w:spacing w:line="261" w:lineRule="auto" w:before="99"/>
        <w:ind w:right="413"/>
      </w:pPr>
      <w:r>
        <w:rPr>
          <w:color w:val="58595B"/>
          <w:w w:val="105"/>
        </w:rPr>
        <w:t>Queensland Rail thanks customers and the community for their cooperation as we work to improve your station.</w:t>
      </w:r>
    </w:p>
    <w:p>
      <w:pPr>
        <w:pStyle w:val="Heading1"/>
        <w:spacing w:before="165"/>
      </w:pPr>
      <w:r>
        <w:rPr>
          <w:color w:val="58595B"/>
        </w:rPr>
        <w:t>Contact us</w:t>
      </w:r>
    </w:p>
    <w:p>
      <w:pPr>
        <w:pStyle w:val="BodyText"/>
        <w:tabs>
          <w:tab w:pos="1312" w:val="left" w:leader="none"/>
        </w:tabs>
        <w:spacing w:line="396" w:lineRule="exact" w:before="27"/>
        <w:ind w:right="2014"/>
      </w:pPr>
      <w:r>
        <w:rPr>
          <w:color w:val="58595B"/>
          <w:spacing w:val="-4"/>
          <w:w w:val="105"/>
        </w:rPr>
        <w:t>For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more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information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or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provide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feedback: Phone:</w:t>
        <w:tab/>
      </w:r>
      <w:r>
        <w:rPr>
          <w:b/>
          <w:color w:val="58595B"/>
          <w:w w:val="105"/>
        </w:rPr>
        <w:t>1800 722 203 </w:t>
      </w:r>
      <w:r>
        <w:rPr>
          <w:color w:val="58595B"/>
          <w:w w:val="105"/>
        </w:rPr>
        <w:t>(free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call)</w:t>
      </w:r>
    </w:p>
    <w:p>
      <w:pPr>
        <w:tabs>
          <w:tab w:pos="1312" w:val="left" w:leader="none"/>
        </w:tabs>
        <w:spacing w:before="22"/>
        <w:ind w:left="311" w:right="0" w:firstLine="0"/>
        <w:jc w:val="left"/>
        <w:rPr>
          <w:b/>
          <w:sz w:val="19"/>
        </w:rPr>
      </w:pPr>
      <w:r>
        <w:rPr>
          <w:color w:val="58595B"/>
          <w:w w:val="105"/>
          <w:sz w:val="19"/>
        </w:rPr>
        <w:t>Email:</w:t>
        <w:tab/>
      </w:r>
      <w:hyperlink r:id="rId6">
        <w:r>
          <w:rPr>
            <w:b/>
            <w:color w:val="58595B"/>
            <w:w w:val="105"/>
            <w:sz w:val="19"/>
          </w:rPr>
          <w:t>stationsupgrade@qr.com.au</w:t>
        </w:r>
      </w:hyperlink>
    </w:p>
    <w:p>
      <w:pPr>
        <w:tabs>
          <w:tab w:pos="1326" w:val="left" w:leader="none"/>
        </w:tabs>
        <w:spacing w:before="59"/>
        <w:ind w:left="311" w:right="0" w:firstLine="0"/>
        <w:jc w:val="left"/>
        <w:rPr>
          <w:b/>
          <w:sz w:val="19"/>
        </w:rPr>
      </w:pPr>
      <w:r>
        <w:rPr>
          <w:color w:val="58595B"/>
          <w:w w:val="105"/>
          <w:sz w:val="19"/>
        </w:rPr>
        <w:t>Website:</w:t>
        <w:tab/>
      </w:r>
      <w:r>
        <w:rPr>
          <w:b/>
          <w:color w:val="58595B"/>
          <w:w w:val="105"/>
          <w:sz w:val="19"/>
        </w:rPr>
        <w:t>queenslandrail.com.au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0" w:bottom="0" w:left="0" w:right="0"/>
          <w:cols w:num="2" w:equalWidth="0">
            <w:col w:w="5628" w:space="268"/>
            <w:col w:w="6014"/>
          </w:cols>
        </w:sectPr>
      </w:pPr>
    </w:p>
    <w:p>
      <w:pPr>
        <w:pStyle w:val="BodyText"/>
        <w:spacing w:before="9"/>
        <w:ind w:left="0"/>
        <w:rPr>
          <w:b/>
          <w:sz w:val="2"/>
        </w:rPr>
      </w:pPr>
    </w:p>
    <w:p>
      <w:pPr>
        <w:tabs>
          <w:tab w:pos="4272" w:val="left" w:leader="none"/>
          <w:tab w:pos="8178" w:val="left" w:leader="none"/>
        </w:tabs>
        <w:spacing w:line="240" w:lineRule="auto"/>
        <w:ind w:left="302" w:right="0" w:firstLine="0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536263pt;margin-top:109.200783pt;width:563.950pt;height:45.35pt;mso-position-horizontal-relative:page;mso-position-vertical-relative:paragraph;z-index:1096;mso-wrap-distance-left:0;mso-wrap-distance-right:0" type="#_x0000_t202" filled="true" fillcolor="#58595b" stroked="false">
            <v:textbox inset="0,0,0,0">
              <w:txbxContent>
                <w:p>
                  <w:pPr>
                    <w:spacing w:line="259" w:lineRule="auto" w:before="149"/>
                    <w:ind w:left="372" w:right="359" w:hanging="1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color w:val="FFFFFF"/>
                      <w:sz w:val="25"/>
                    </w:rPr>
                    <w:t>Delivery of Queensland Rail’s $300 million Station Accessibility Upgrade Program will ensure 83% of customers will travel to or from an accessible station.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0"/>
        </w:rPr>
        <w:pict>
          <v:group style="width:176.9pt;height:103.3pt;mso-position-horizontal-relative:char;mso-position-vertical-relative:line" coordorigin="0,0" coordsize="3538,2066">
            <v:shape style="position:absolute;left:12;top:12;width:3514;height:2042" type="#_x0000_t75" stroked="false">
              <v:imagedata r:id="rId7" o:title=""/>
            </v:shape>
            <v:rect style="position:absolute;left:12;top:12;width:3514;height:2042" filled="false" stroked="true" strokeweight="1.199pt" strokecolor="#58595b">
              <v:stroke dashstyl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75.6pt;height:103.35pt;mso-position-horizontal-relative:char;mso-position-vertical-relative:line" coordorigin="0,0" coordsize="3512,2067">
            <v:shape style="position:absolute;left:12;top:12;width:3487;height:2042" type="#_x0000_t75" stroked="false">
              <v:imagedata r:id="rId8" o:title=""/>
            </v:shape>
            <v:rect style="position:absolute;left:12;top:12;width:3487;height:2042" filled="false" stroked="true" strokeweight="1.204pt" strokecolor="#58595b">
              <v:stroke dashstyl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pict>
          <v:group style="width:166.55pt;height:102.8pt;mso-position-horizontal-relative:char;mso-position-vertical-relative:line" coordorigin="0,0" coordsize="3331,2056">
            <v:shape style="position:absolute;left:12;top:12;width:3307;height:2032" type="#_x0000_t75" stroked="false">
              <v:imagedata r:id="rId9" o:title=""/>
            </v:shape>
            <v:rect style="position:absolute;left:12;top:12;width:3307;height:2032" filled="false" stroked="true" strokeweight="1.193pt" strokecolor="#58595b">
              <v:stroke dashstyle="solid"/>
            </v:rect>
          </v:group>
        </w:pict>
      </w:r>
      <w:r>
        <w:rPr>
          <w:position w:val="1"/>
          <w:sz w:val="20"/>
        </w:rPr>
      </w:r>
    </w:p>
    <w:p>
      <w:pPr>
        <w:pStyle w:val="BodyText"/>
        <w:spacing w:before="5"/>
        <w:ind w:left="0"/>
        <w:rPr>
          <w:b/>
          <w:sz w:val="23"/>
        </w:rPr>
      </w:pPr>
    </w:p>
    <w:tbl>
      <w:tblPr>
        <w:tblW w:w="0" w:type="auto"/>
        <w:jc w:val="left"/>
        <w:tblInd w:w="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1342"/>
        <w:gridCol w:w="1337"/>
        <w:gridCol w:w="1471"/>
        <w:gridCol w:w="1375"/>
        <w:gridCol w:w="1406"/>
        <w:gridCol w:w="1350"/>
        <w:gridCol w:w="1168"/>
      </w:tblGrid>
      <w:tr>
        <w:trPr>
          <w:trHeight w:val="220" w:hRule="atLeast"/>
        </w:trPr>
        <w:tc>
          <w:tcPr>
            <w:tcW w:w="1105" w:type="dxa"/>
          </w:tcPr>
          <w:p>
            <w:pPr>
              <w:pStyle w:val="TableParagraph"/>
              <w:spacing w:line="193" w:lineRule="exact" w:before="27"/>
              <w:ind w:left="50"/>
              <w:rPr>
                <w:b/>
                <w:sz w:val="19"/>
              </w:rPr>
            </w:pPr>
            <w:r>
              <w:rPr>
                <w:b/>
                <w:color w:val="58595B"/>
                <w:sz w:val="19"/>
              </w:rPr>
              <w:t>Nambour</w:t>
            </w:r>
          </w:p>
        </w:tc>
        <w:tc>
          <w:tcPr>
            <w:tcW w:w="1342" w:type="dxa"/>
          </w:tcPr>
          <w:p>
            <w:pPr>
              <w:pStyle w:val="TableParagraph"/>
              <w:spacing w:line="193" w:lineRule="exact" w:before="27"/>
              <w:ind w:left="326"/>
              <w:rPr>
                <w:b/>
                <w:sz w:val="19"/>
              </w:rPr>
            </w:pPr>
            <w:r>
              <w:rPr>
                <w:b/>
                <w:color w:val="58595B"/>
                <w:sz w:val="19"/>
              </w:rPr>
              <w:t>Dinmore</w:t>
            </w:r>
          </w:p>
        </w:tc>
        <w:tc>
          <w:tcPr>
            <w:tcW w:w="1337" w:type="dxa"/>
          </w:tcPr>
          <w:p>
            <w:pPr>
              <w:pStyle w:val="TableParagraph"/>
              <w:spacing w:line="193" w:lineRule="exact" w:before="27"/>
              <w:ind w:left="291"/>
              <w:rPr>
                <w:b/>
                <w:sz w:val="19"/>
              </w:rPr>
            </w:pPr>
            <w:r>
              <w:rPr>
                <w:b/>
                <w:color w:val="58595B"/>
                <w:sz w:val="19"/>
              </w:rPr>
              <w:t>Graceville</w:t>
            </w:r>
          </w:p>
        </w:tc>
        <w:tc>
          <w:tcPr>
            <w:tcW w:w="1471" w:type="dxa"/>
          </w:tcPr>
          <w:p>
            <w:pPr>
              <w:pStyle w:val="TableParagraph"/>
              <w:spacing w:line="193" w:lineRule="exact" w:before="27"/>
              <w:ind w:left="222" w:right="241"/>
              <w:jc w:val="center"/>
              <w:rPr>
                <w:b/>
                <w:sz w:val="19"/>
              </w:rPr>
            </w:pPr>
            <w:r>
              <w:rPr>
                <w:b/>
                <w:color w:val="58595B"/>
                <w:sz w:val="19"/>
              </w:rPr>
              <w:t>Newmarket</w:t>
            </w:r>
          </w:p>
        </w:tc>
        <w:tc>
          <w:tcPr>
            <w:tcW w:w="1375" w:type="dxa"/>
          </w:tcPr>
          <w:p>
            <w:pPr>
              <w:pStyle w:val="TableParagraph"/>
              <w:spacing w:line="193" w:lineRule="exact" w:before="27"/>
              <w:ind w:left="329"/>
              <w:rPr>
                <w:b/>
                <w:sz w:val="19"/>
              </w:rPr>
            </w:pPr>
            <w:r>
              <w:rPr>
                <w:b/>
                <w:color w:val="58595B"/>
                <w:sz w:val="19"/>
              </w:rPr>
              <w:t>Alderley</w:t>
            </w:r>
          </w:p>
        </w:tc>
        <w:tc>
          <w:tcPr>
            <w:tcW w:w="1406" w:type="dxa"/>
          </w:tcPr>
          <w:p>
            <w:pPr>
              <w:pStyle w:val="TableParagraph"/>
              <w:spacing w:line="193" w:lineRule="exact" w:before="27"/>
              <w:ind w:left="338"/>
              <w:rPr>
                <w:b/>
                <w:sz w:val="19"/>
              </w:rPr>
            </w:pPr>
            <w:r>
              <w:rPr>
                <w:b/>
                <w:color w:val="58595B"/>
                <w:sz w:val="19"/>
              </w:rPr>
              <w:t>Strathpine</w:t>
            </w:r>
          </w:p>
        </w:tc>
        <w:tc>
          <w:tcPr>
            <w:tcW w:w="1350" w:type="dxa"/>
          </w:tcPr>
          <w:p>
            <w:pPr>
              <w:pStyle w:val="TableParagraph"/>
              <w:spacing w:line="193" w:lineRule="exact" w:before="27"/>
              <w:ind w:left="174" w:right="227"/>
              <w:jc w:val="center"/>
              <w:rPr>
                <w:b/>
                <w:sz w:val="19"/>
              </w:rPr>
            </w:pPr>
            <w:r>
              <w:rPr>
                <w:b/>
                <w:color w:val="58595B"/>
                <w:sz w:val="19"/>
              </w:rPr>
              <w:t>Morayfield</w:t>
            </w:r>
          </w:p>
        </w:tc>
        <w:tc>
          <w:tcPr>
            <w:tcW w:w="1168" w:type="dxa"/>
          </w:tcPr>
          <w:p>
            <w:pPr>
              <w:pStyle w:val="TableParagraph"/>
              <w:spacing w:line="193" w:lineRule="exact" w:before="27"/>
              <w:ind w:left="235" w:right="17"/>
              <w:jc w:val="center"/>
              <w:rPr>
                <w:b/>
                <w:sz w:val="19"/>
              </w:rPr>
            </w:pPr>
            <w:r>
              <w:rPr>
                <w:b/>
                <w:color w:val="58595B"/>
                <w:sz w:val="19"/>
              </w:rPr>
              <w:t>Boondall</w:t>
            </w:r>
          </w:p>
        </w:tc>
      </w:tr>
      <w:tr>
        <w:trPr>
          <w:trHeight w:val="200" w:hRule="atLeast"/>
        </w:trPr>
        <w:tc>
          <w:tcPr>
            <w:tcW w:w="1105" w:type="dxa"/>
          </w:tcPr>
          <w:p>
            <w:pPr>
              <w:pStyle w:val="TableParagraph"/>
              <w:spacing w:before="14"/>
              <w:ind w:left="52"/>
              <w:rPr>
                <w:sz w:val="17"/>
              </w:rPr>
            </w:pPr>
            <w:r>
              <w:rPr>
                <w:color w:val="58595B"/>
                <w:sz w:val="17"/>
              </w:rPr>
              <w:t>Completed</w:t>
            </w:r>
          </w:p>
        </w:tc>
        <w:tc>
          <w:tcPr>
            <w:tcW w:w="1342" w:type="dxa"/>
          </w:tcPr>
          <w:p>
            <w:pPr>
              <w:pStyle w:val="TableParagraph"/>
              <w:spacing w:before="14"/>
              <w:ind w:left="294"/>
              <w:rPr>
                <w:sz w:val="17"/>
              </w:rPr>
            </w:pPr>
            <w:r>
              <w:rPr>
                <w:color w:val="58595B"/>
                <w:sz w:val="17"/>
              </w:rPr>
              <w:t>Completed</w:t>
            </w:r>
          </w:p>
        </w:tc>
        <w:tc>
          <w:tcPr>
            <w:tcW w:w="1337" w:type="dxa"/>
          </w:tcPr>
          <w:p>
            <w:pPr>
              <w:pStyle w:val="TableParagraph"/>
              <w:spacing w:before="14"/>
              <w:ind w:left="307"/>
              <w:rPr>
                <w:sz w:val="17"/>
              </w:rPr>
            </w:pPr>
            <w:r>
              <w:rPr>
                <w:color w:val="58595B"/>
                <w:sz w:val="17"/>
              </w:rPr>
              <w:t>Completed</w:t>
            </w:r>
          </w:p>
        </w:tc>
        <w:tc>
          <w:tcPr>
            <w:tcW w:w="1471" w:type="dxa"/>
          </w:tcPr>
          <w:p>
            <w:pPr>
              <w:pStyle w:val="TableParagraph"/>
              <w:spacing w:before="14"/>
              <w:ind w:left="222" w:right="241"/>
              <w:jc w:val="center"/>
              <w:rPr>
                <w:sz w:val="17"/>
              </w:rPr>
            </w:pPr>
            <w:r>
              <w:rPr>
                <w:color w:val="58595B"/>
                <w:sz w:val="17"/>
              </w:rPr>
              <w:t>Completed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"/>
              <w:ind w:left="280"/>
              <w:rPr>
                <w:sz w:val="17"/>
              </w:rPr>
            </w:pPr>
            <w:r>
              <w:rPr>
                <w:color w:val="58595B"/>
                <w:sz w:val="17"/>
              </w:rPr>
              <w:t>Completed</w:t>
            </w:r>
          </w:p>
        </w:tc>
        <w:tc>
          <w:tcPr>
            <w:tcW w:w="1406" w:type="dxa"/>
          </w:tcPr>
          <w:p>
            <w:pPr>
              <w:pStyle w:val="TableParagraph"/>
              <w:spacing w:before="14"/>
              <w:ind w:left="380"/>
              <w:rPr>
                <w:sz w:val="17"/>
              </w:rPr>
            </w:pPr>
            <w:r>
              <w:rPr>
                <w:color w:val="58595B"/>
                <w:w w:val="95"/>
                <w:sz w:val="17"/>
              </w:rPr>
              <w:t>Early works</w:t>
            </w:r>
          </w:p>
        </w:tc>
        <w:tc>
          <w:tcPr>
            <w:tcW w:w="1350" w:type="dxa"/>
          </w:tcPr>
          <w:p>
            <w:pPr>
              <w:pStyle w:val="TableParagraph"/>
              <w:spacing w:before="14"/>
              <w:ind w:left="174" w:right="227"/>
              <w:jc w:val="center"/>
              <w:rPr>
                <w:sz w:val="17"/>
              </w:rPr>
            </w:pPr>
            <w:r>
              <w:rPr>
                <w:color w:val="58595B"/>
                <w:w w:val="95"/>
                <w:sz w:val="17"/>
              </w:rPr>
              <w:t>Early works</w:t>
            </w:r>
          </w:p>
        </w:tc>
        <w:tc>
          <w:tcPr>
            <w:tcW w:w="1168" w:type="dxa"/>
          </w:tcPr>
          <w:p>
            <w:pPr>
              <w:pStyle w:val="TableParagraph"/>
              <w:spacing w:before="14"/>
              <w:ind w:left="235" w:right="17"/>
              <w:jc w:val="center"/>
              <w:rPr>
                <w:sz w:val="17"/>
              </w:rPr>
            </w:pPr>
            <w:r>
              <w:rPr>
                <w:color w:val="58595B"/>
                <w:w w:val="95"/>
                <w:sz w:val="17"/>
              </w:rPr>
              <w:t>Early works</w:t>
            </w:r>
          </w:p>
        </w:tc>
      </w:tr>
      <w:tr>
        <w:trPr>
          <w:trHeight w:val="200" w:hRule="atLeast"/>
        </w:trPr>
        <w:tc>
          <w:tcPr>
            <w:tcW w:w="1105" w:type="dxa"/>
          </w:tcPr>
          <w:p>
            <w:pPr>
              <w:pStyle w:val="TableParagraph"/>
              <w:ind w:left="108"/>
              <w:rPr>
                <w:sz w:val="17"/>
              </w:rPr>
            </w:pPr>
            <w:r>
              <w:rPr>
                <w:color w:val="58595B"/>
                <w:sz w:val="17"/>
              </w:rPr>
              <w:t>Apr 2017</w:t>
            </w:r>
          </w:p>
        </w:tc>
        <w:tc>
          <w:tcPr>
            <w:tcW w:w="1342" w:type="dxa"/>
          </w:tcPr>
          <w:p>
            <w:pPr>
              <w:pStyle w:val="TableParagraph"/>
              <w:ind w:left="351"/>
              <w:rPr>
                <w:sz w:val="17"/>
              </w:rPr>
            </w:pPr>
            <w:r>
              <w:rPr>
                <w:color w:val="58595B"/>
                <w:sz w:val="17"/>
              </w:rPr>
              <w:t>Jun 2017</w:t>
            </w:r>
          </w:p>
        </w:tc>
        <w:tc>
          <w:tcPr>
            <w:tcW w:w="1337" w:type="dxa"/>
          </w:tcPr>
          <w:p>
            <w:pPr>
              <w:pStyle w:val="TableParagraph"/>
              <w:ind w:left="356"/>
              <w:rPr>
                <w:sz w:val="17"/>
              </w:rPr>
            </w:pPr>
            <w:r>
              <w:rPr>
                <w:color w:val="58595B"/>
                <w:sz w:val="17"/>
              </w:rPr>
              <w:t>Sep 2017</w:t>
            </w:r>
          </w:p>
        </w:tc>
        <w:tc>
          <w:tcPr>
            <w:tcW w:w="1471" w:type="dxa"/>
          </w:tcPr>
          <w:p>
            <w:pPr>
              <w:pStyle w:val="TableParagraph"/>
              <w:ind w:left="222" w:right="241"/>
              <w:jc w:val="center"/>
              <w:rPr>
                <w:sz w:val="17"/>
              </w:rPr>
            </w:pPr>
            <w:r>
              <w:rPr>
                <w:color w:val="58595B"/>
                <w:sz w:val="17"/>
              </w:rPr>
              <w:t>Nov 2017</w:t>
            </w:r>
          </w:p>
        </w:tc>
        <w:tc>
          <w:tcPr>
            <w:tcW w:w="1375" w:type="dxa"/>
          </w:tcPr>
          <w:p>
            <w:pPr>
              <w:pStyle w:val="TableParagraph"/>
              <w:ind w:left="319"/>
              <w:rPr>
                <w:sz w:val="17"/>
              </w:rPr>
            </w:pPr>
            <w:r>
              <w:rPr>
                <w:color w:val="58595B"/>
                <w:sz w:val="17"/>
              </w:rPr>
              <w:t>Nov 2017</w:t>
            </w:r>
          </w:p>
        </w:tc>
        <w:tc>
          <w:tcPr>
            <w:tcW w:w="1406" w:type="dxa"/>
          </w:tcPr>
          <w:p>
            <w:pPr>
              <w:pStyle w:val="TableParagraph"/>
              <w:ind w:left="340"/>
              <w:rPr>
                <w:sz w:val="17"/>
              </w:rPr>
            </w:pPr>
            <w:r>
              <w:rPr>
                <w:color w:val="58595B"/>
                <w:sz w:val="17"/>
              </w:rPr>
              <w:t>commenced</w:t>
            </w:r>
          </w:p>
        </w:tc>
        <w:tc>
          <w:tcPr>
            <w:tcW w:w="1350" w:type="dxa"/>
          </w:tcPr>
          <w:p>
            <w:pPr>
              <w:pStyle w:val="TableParagraph"/>
              <w:ind w:left="174" w:right="227"/>
              <w:jc w:val="center"/>
              <w:rPr>
                <w:sz w:val="17"/>
              </w:rPr>
            </w:pPr>
            <w:r>
              <w:rPr>
                <w:color w:val="58595B"/>
                <w:sz w:val="17"/>
              </w:rPr>
              <w:t>commenced</w:t>
            </w:r>
          </w:p>
        </w:tc>
        <w:tc>
          <w:tcPr>
            <w:tcW w:w="1168" w:type="dxa"/>
          </w:tcPr>
          <w:p>
            <w:pPr>
              <w:pStyle w:val="TableParagraph"/>
              <w:ind w:left="235" w:right="17"/>
              <w:jc w:val="center"/>
              <w:rPr>
                <w:sz w:val="17"/>
              </w:rPr>
            </w:pPr>
            <w:r>
              <w:rPr>
                <w:color w:val="58595B"/>
                <w:sz w:val="17"/>
              </w:rPr>
              <w:t>commenced</w:t>
            </w:r>
          </w:p>
        </w:tc>
      </w:tr>
      <w:tr>
        <w:trPr>
          <w:trHeight w:val="200" w:hRule="atLeast"/>
        </w:trPr>
        <w:tc>
          <w:tcPr>
            <w:tcW w:w="110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line="175" w:lineRule="exact"/>
              <w:ind w:left="432"/>
              <w:rPr>
                <w:sz w:val="17"/>
              </w:rPr>
            </w:pPr>
            <w:r>
              <w:rPr>
                <w:color w:val="58595B"/>
                <w:sz w:val="17"/>
              </w:rPr>
              <w:t>late 2017</w:t>
            </w:r>
          </w:p>
        </w:tc>
        <w:tc>
          <w:tcPr>
            <w:tcW w:w="1350" w:type="dxa"/>
          </w:tcPr>
          <w:p>
            <w:pPr>
              <w:pStyle w:val="TableParagraph"/>
              <w:spacing w:line="175" w:lineRule="exact"/>
              <w:ind w:left="174" w:right="227"/>
              <w:jc w:val="center"/>
              <w:rPr>
                <w:sz w:val="17"/>
              </w:rPr>
            </w:pPr>
            <w:r>
              <w:rPr>
                <w:color w:val="58595B"/>
                <w:sz w:val="17"/>
              </w:rPr>
              <w:t>late 2017</w:t>
            </w:r>
          </w:p>
        </w:tc>
        <w:tc>
          <w:tcPr>
            <w:tcW w:w="1168" w:type="dxa"/>
          </w:tcPr>
          <w:p>
            <w:pPr>
              <w:pStyle w:val="TableParagraph"/>
              <w:spacing w:line="175" w:lineRule="exact"/>
              <w:ind w:left="235" w:right="17"/>
              <w:jc w:val="center"/>
              <w:rPr>
                <w:sz w:val="17"/>
              </w:rPr>
            </w:pPr>
            <w:r>
              <w:rPr>
                <w:color w:val="58595B"/>
                <w:sz w:val="17"/>
              </w:rPr>
              <w:t>early 2018</w:t>
            </w:r>
          </w:p>
        </w:tc>
      </w:tr>
    </w:tbl>
    <w:p>
      <w:pPr>
        <w:pStyle w:val="BodyText"/>
        <w:spacing w:before="8"/>
        <w:ind w:left="0"/>
        <w:rPr>
          <w:b/>
          <w:sz w:val="11"/>
        </w:rPr>
      </w:pPr>
      <w:r>
        <w:rPr/>
        <w:pict>
          <v:group style="position:absolute;margin-left:15.241165pt;margin-top:8.654151pt;width:565.2pt;height:54.05pt;mso-position-horizontal-relative:page;mso-position-vertical-relative:paragraph;z-index:1120;mso-wrap-distance-left:0;mso-wrap-distance-right:0" coordorigin="305,173" coordsize="11304,1081">
            <v:rect style="position:absolute;left:304;top:173;width:6792;height:444" filled="true" fillcolor="#bcbec0" stroked="false">
              <v:fill type="solid"/>
            </v:rect>
            <v:rect style="position:absolute;left:7096;top:173;width:3992;height:444" filled="true" fillcolor="#414042" stroked="false">
              <v:fill type="solid"/>
            </v:rect>
            <v:rect style="position:absolute;left:1087;top:809;width:10001;height:444" filled="true" fillcolor="#414042" stroked="false">
              <v:fill type="solid"/>
            </v:rect>
            <v:shape style="position:absolute;left:11087;top:395;width:307;height:637" coordorigin="11088,395" coordsize="307,637" path="m11088,395l11158,403,11223,428,11280,466,11328,516,11364,576,11387,643,11394,717,11385,789,11362,855,11325,914,11278,963,11221,1000,11157,1024,11088,1032e" filled="false" stroked="true" strokeweight="21.335779pt" strokecolor="#414042">
              <v:path arrowok="t"/>
              <v:stroke dashstyle="solid"/>
            </v:shape>
            <v:shape style="position:absolute;left:715;top:230;width:313;height:329" type="#_x0000_t75" stroked="false">
              <v:imagedata r:id="rId10" o:title=""/>
            </v:shape>
            <v:shape style="position:absolute;left:2062;top:230;width:313;height:329" type="#_x0000_t75" stroked="false">
              <v:imagedata r:id="rId10" o:title=""/>
            </v:shape>
            <v:shape style="position:absolute;left:3417;top:230;width:313;height:329" type="#_x0000_t75" stroked="false">
              <v:imagedata r:id="rId11" o:title=""/>
            </v:shape>
            <v:shape style="position:absolute;left:4793;top:230;width:313;height:329" type="#_x0000_t75" stroked="false">
              <v:imagedata r:id="rId10" o:title=""/>
            </v:shape>
            <v:shape style="position:absolute;left:6198;top:230;width:313;height:329" type="#_x0000_t75" stroked="false">
              <v:imagedata r:id="rId12" o:title=""/>
            </v:shape>
            <v:shape style="position:absolute;left:7680;top:230;width:313;height:329" type="#_x0000_t75" stroked="false">
              <v:imagedata r:id="rId13" o:title=""/>
            </v:shape>
            <v:shape style="position:absolute;left:8968;top:230;width:313;height:329" type="#_x0000_t75" stroked="false">
              <v:imagedata r:id="rId14" o:title=""/>
            </v:shape>
            <v:shape style="position:absolute;left:10364;top:230;width:313;height:329" type="#_x0000_t75" stroked="false">
              <v:imagedata r:id="rId13" o:title=""/>
            </v:shape>
            <v:shape style="position:absolute;left:1520;top:867;width:313;height:329" type="#_x0000_t75" stroked="false">
              <v:imagedata r:id="rId15" o:title=""/>
            </v:shape>
            <v:shape style="position:absolute;left:2752;top:867;width:313;height:329" type="#_x0000_t75" stroked="false">
              <v:imagedata r:id="rId16" o:title=""/>
            </v:shape>
            <v:shape style="position:absolute;left:3973;top:867;width:313;height:329" type="#_x0000_t75" stroked="false">
              <v:imagedata r:id="rId16" o:title=""/>
            </v:shape>
            <v:shape style="position:absolute;left:5180;top:867;width:313;height:329" type="#_x0000_t75" stroked="false">
              <v:imagedata r:id="rId15" o:title=""/>
            </v:shape>
            <v:shape style="position:absolute;left:6412;top:867;width:313;height:329" type="#_x0000_t75" stroked="false">
              <v:imagedata r:id="rId16" o:title=""/>
            </v:shape>
            <v:shape style="position:absolute;left:7633;top:867;width:313;height:329" type="#_x0000_t75" stroked="false">
              <v:imagedata r:id="rId16" o:title=""/>
            </v:shape>
            <v:shape style="position:absolute;left:8849;top:867;width:313;height:329" type="#_x0000_t75" stroked="false">
              <v:imagedata r:id="rId16" o:title=""/>
            </v:shape>
            <v:shape style="position:absolute;left:10125;top:867;width:313;height:329" type="#_x0000_t75" stroked="false">
              <v:imagedata r:id="rId17" o:title=""/>
            </v:shape>
            <w10:wrap type="topAndBottom"/>
          </v:group>
        </w:pict>
      </w:r>
    </w:p>
    <w:p>
      <w:pPr>
        <w:pStyle w:val="BodyText"/>
        <w:spacing w:before="0"/>
        <w:ind w:left="0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Heading2"/>
        <w:ind w:left="1226"/>
        <w:jc w:val="center"/>
      </w:pPr>
      <w:r>
        <w:rPr>
          <w:color w:val="58595B"/>
        </w:rPr>
        <w:t>Albion</w:t>
      </w:r>
    </w:p>
    <w:p>
      <w:pPr>
        <w:spacing w:before="10"/>
        <w:ind w:left="1226" w:right="0" w:firstLine="0"/>
        <w:jc w:val="center"/>
        <w:rPr>
          <w:sz w:val="17"/>
        </w:rPr>
      </w:pPr>
      <w:r>
        <w:rPr>
          <w:color w:val="58595B"/>
          <w:sz w:val="17"/>
        </w:rPr>
        <w:t>Design</w:t>
      </w:r>
      <w:r>
        <w:rPr>
          <w:color w:val="58595B"/>
          <w:spacing w:val="-27"/>
          <w:sz w:val="17"/>
        </w:rPr>
        <w:t> </w:t>
      </w:r>
      <w:r>
        <w:rPr>
          <w:color w:val="58595B"/>
          <w:sz w:val="17"/>
        </w:rPr>
        <w:t>stage</w:t>
      </w:r>
    </w:p>
    <w:p>
      <w:pPr>
        <w:pStyle w:val="Heading2"/>
        <w:ind w:left="292"/>
        <w:jc w:val="center"/>
      </w:pPr>
      <w:r>
        <w:rPr>
          <w:b w:val="0"/>
        </w:rPr>
        <w:br w:type="column"/>
      </w:r>
      <w:r>
        <w:rPr>
          <w:color w:val="58595B"/>
        </w:rPr>
        <w:t>Fairfield</w:t>
      </w:r>
    </w:p>
    <w:p>
      <w:pPr>
        <w:spacing w:before="10"/>
        <w:ind w:left="292" w:right="0" w:firstLine="0"/>
        <w:jc w:val="center"/>
        <w:rPr>
          <w:sz w:val="17"/>
        </w:rPr>
      </w:pPr>
      <w:r>
        <w:rPr>
          <w:color w:val="58595B"/>
          <w:sz w:val="17"/>
        </w:rPr>
        <w:t>Design</w:t>
      </w:r>
      <w:r>
        <w:rPr>
          <w:color w:val="58595B"/>
          <w:spacing w:val="-27"/>
          <w:sz w:val="17"/>
        </w:rPr>
        <w:t> </w:t>
      </w:r>
      <w:r>
        <w:rPr>
          <w:color w:val="58595B"/>
          <w:sz w:val="17"/>
        </w:rPr>
        <w:t>stage</w:t>
      </w:r>
    </w:p>
    <w:p>
      <w:pPr>
        <w:pStyle w:val="Heading2"/>
      </w:pPr>
      <w:r>
        <w:rPr>
          <w:b w:val="0"/>
        </w:rPr>
        <w:br w:type="column"/>
      </w:r>
      <w:r>
        <w:rPr>
          <w:color w:val="58595B"/>
          <w:w w:val="95"/>
        </w:rPr>
        <w:t>Auchenflower</w:t>
      </w:r>
    </w:p>
    <w:p>
      <w:pPr>
        <w:spacing w:before="10"/>
        <w:ind w:left="281" w:right="0" w:firstLine="0"/>
        <w:jc w:val="left"/>
        <w:rPr>
          <w:sz w:val="17"/>
        </w:rPr>
      </w:pPr>
      <w:r>
        <w:rPr>
          <w:color w:val="58595B"/>
          <w:sz w:val="17"/>
        </w:rPr>
        <w:t>Design stage</w:t>
      </w:r>
    </w:p>
    <w:p>
      <w:pPr>
        <w:pStyle w:val="Heading2"/>
        <w:ind w:left="245"/>
      </w:pPr>
      <w:r>
        <w:rPr>
          <w:b w:val="0"/>
        </w:rPr>
        <w:br w:type="column"/>
      </w:r>
      <w:r>
        <w:rPr>
          <w:color w:val="58595B"/>
        </w:rPr>
        <w:t>Loganlea</w:t>
      </w:r>
    </w:p>
    <w:p>
      <w:pPr>
        <w:spacing w:before="10"/>
        <w:ind w:left="166" w:right="0" w:firstLine="0"/>
        <w:jc w:val="left"/>
        <w:rPr>
          <w:sz w:val="17"/>
        </w:rPr>
      </w:pPr>
      <w:r>
        <w:rPr>
          <w:color w:val="58595B"/>
          <w:sz w:val="17"/>
        </w:rPr>
        <w:t>Design</w:t>
      </w:r>
      <w:r>
        <w:rPr>
          <w:color w:val="58595B"/>
          <w:spacing w:val="-27"/>
          <w:sz w:val="17"/>
        </w:rPr>
        <w:t> </w:t>
      </w:r>
      <w:r>
        <w:rPr>
          <w:color w:val="58595B"/>
          <w:sz w:val="17"/>
        </w:rPr>
        <w:t>stage</w:t>
      </w:r>
    </w:p>
    <w:p>
      <w:pPr>
        <w:pStyle w:val="Heading2"/>
        <w:ind w:left="276"/>
      </w:pPr>
      <w:r>
        <w:rPr>
          <w:b w:val="0"/>
        </w:rPr>
        <w:br w:type="column"/>
      </w:r>
      <w:r>
        <w:rPr>
          <w:color w:val="58595B"/>
          <w:w w:val="95"/>
        </w:rPr>
        <w:t>Cannon Hill</w:t>
      </w:r>
    </w:p>
    <w:p>
      <w:pPr>
        <w:spacing w:before="10"/>
        <w:ind w:left="292" w:right="0" w:firstLine="0"/>
        <w:jc w:val="left"/>
        <w:rPr>
          <w:sz w:val="17"/>
        </w:rPr>
      </w:pPr>
      <w:r>
        <w:rPr>
          <w:color w:val="58595B"/>
          <w:sz w:val="17"/>
        </w:rPr>
        <w:t>Design</w:t>
      </w:r>
      <w:r>
        <w:rPr>
          <w:color w:val="58595B"/>
          <w:spacing w:val="-27"/>
          <w:sz w:val="17"/>
        </w:rPr>
        <w:t> </w:t>
      </w:r>
      <w:r>
        <w:rPr>
          <w:color w:val="58595B"/>
          <w:sz w:val="17"/>
        </w:rPr>
        <w:t>stage</w:t>
      </w:r>
    </w:p>
    <w:p>
      <w:pPr>
        <w:pStyle w:val="Heading2"/>
        <w:ind w:left="265"/>
        <w:jc w:val="center"/>
      </w:pPr>
      <w:r>
        <w:rPr>
          <w:b w:val="0"/>
        </w:rPr>
        <w:br w:type="column"/>
      </w:r>
      <w:r>
        <w:rPr>
          <w:color w:val="58595B"/>
        </w:rPr>
        <w:t>Buranda</w:t>
      </w:r>
    </w:p>
    <w:p>
      <w:pPr>
        <w:spacing w:before="10"/>
        <w:ind w:left="265" w:right="0" w:firstLine="0"/>
        <w:jc w:val="center"/>
        <w:rPr>
          <w:sz w:val="17"/>
        </w:rPr>
      </w:pPr>
      <w:r>
        <w:rPr>
          <w:color w:val="58595B"/>
          <w:sz w:val="17"/>
        </w:rPr>
        <w:t>Design</w:t>
      </w:r>
      <w:r>
        <w:rPr>
          <w:color w:val="58595B"/>
          <w:spacing w:val="-27"/>
          <w:sz w:val="17"/>
        </w:rPr>
        <w:t> </w:t>
      </w:r>
      <w:r>
        <w:rPr>
          <w:color w:val="58595B"/>
          <w:sz w:val="17"/>
        </w:rPr>
        <w:t>stage</w:t>
      </w:r>
    </w:p>
    <w:p>
      <w:pPr>
        <w:pStyle w:val="Heading2"/>
        <w:ind w:left="221"/>
      </w:pPr>
      <w:r>
        <w:rPr>
          <w:b w:val="0"/>
        </w:rPr>
        <w:br w:type="column"/>
      </w:r>
      <w:r>
        <w:rPr>
          <w:color w:val="58595B"/>
          <w:w w:val="95"/>
        </w:rPr>
        <w:t>East Ipswich</w:t>
      </w:r>
    </w:p>
    <w:p>
      <w:pPr>
        <w:spacing w:before="10"/>
        <w:ind w:left="275" w:right="0" w:firstLine="0"/>
        <w:jc w:val="left"/>
        <w:rPr>
          <w:sz w:val="17"/>
        </w:rPr>
      </w:pPr>
      <w:r>
        <w:rPr>
          <w:color w:val="58595B"/>
          <w:sz w:val="17"/>
        </w:rPr>
        <w:t>Design stage</w:t>
      </w:r>
    </w:p>
    <w:p>
      <w:pPr>
        <w:pStyle w:val="Heading2"/>
        <w:ind w:left="251" w:right="1139"/>
        <w:jc w:val="center"/>
      </w:pPr>
      <w:r>
        <w:rPr>
          <w:b w:val="0"/>
        </w:rPr>
        <w:br w:type="column"/>
      </w:r>
      <w:r>
        <w:rPr>
          <w:color w:val="58595B"/>
        </w:rPr>
        <w:t>Dakabin</w:t>
      </w:r>
    </w:p>
    <w:p>
      <w:pPr>
        <w:spacing w:before="10"/>
        <w:ind w:left="251" w:right="1139" w:firstLine="0"/>
        <w:jc w:val="center"/>
        <w:rPr>
          <w:sz w:val="17"/>
        </w:rPr>
      </w:pPr>
      <w:r>
        <w:rPr/>
        <w:pict>
          <v:shape style="position:absolute;margin-left:584.067505pt;margin-top:-147.397507pt;width:9.65pt;height:136.2pt;mso-position-horizontal-relative:page;mso-position-vertical-relative:paragraph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before="36"/>
                    <w:ind w:left="20" w:right="-407" w:firstLine="0"/>
                    <w:jc w:val="left"/>
                    <w:rPr>
                      <w:sz w:val="12"/>
                    </w:rPr>
                  </w:pPr>
                  <w:r>
                    <w:rPr>
                      <w:color w:val="58595B"/>
                      <w:spacing w:val="-2"/>
                      <w:sz w:val="12"/>
                    </w:rPr>
                    <w:t>Queenslan</w:t>
                  </w:r>
                  <w:r>
                    <w:rPr>
                      <w:color w:val="58595B"/>
                      <w:sz w:val="12"/>
                    </w:rPr>
                    <w:t>d</w:t>
                  </w:r>
                  <w:r>
                    <w:rPr>
                      <w:color w:val="58595B"/>
                      <w:spacing w:val="-3"/>
                      <w:sz w:val="12"/>
                    </w:rPr>
                    <w:t> R</w:t>
                  </w:r>
                  <w:r>
                    <w:rPr>
                      <w:color w:val="58595B"/>
                      <w:spacing w:val="-2"/>
                      <w:sz w:val="12"/>
                    </w:rPr>
                    <w:t>ai</w:t>
                  </w:r>
                  <w:r>
                    <w:rPr>
                      <w:color w:val="58595B"/>
                      <w:sz w:val="12"/>
                    </w:rPr>
                    <w:t>l</w:t>
                  </w:r>
                  <w:r>
                    <w:rPr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Limi</w:t>
                  </w:r>
                  <w:r>
                    <w:rPr>
                      <w:color w:val="58595B"/>
                      <w:spacing w:val="-3"/>
                      <w:sz w:val="12"/>
                    </w:rPr>
                    <w:t>t</w:t>
                  </w:r>
                  <w:r>
                    <w:rPr>
                      <w:color w:val="58595B"/>
                      <w:spacing w:val="-2"/>
                      <w:sz w:val="12"/>
                    </w:rPr>
                    <w:t>e</w:t>
                  </w:r>
                  <w:r>
                    <w:rPr>
                      <w:color w:val="58595B"/>
                      <w:sz w:val="12"/>
                    </w:rPr>
                    <w:t>d</w:t>
                  </w:r>
                  <w:r>
                    <w:rPr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AB</w:t>
                  </w:r>
                  <w:r>
                    <w:rPr>
                      <w:color w:val="58595B"/>
                      <w:sz w:val="12"/>
                    </w:rPr>
                    <w:t>N</w:t>
                  </w:r>
                  <w:r>
                    <w:rPr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7</w:t>
                  </w:r>
                  <w:r>
                    <w:rPr>
                      <w:color w:val="58595B"/>
                      <w:sz w:val="12"/>
                    </w:rPr>
                    <w:t>1</w:t>
                  </w:r>
                  <w:r>
                    <w:rPr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13</w:t>
                  </w:r>
                  <w:r>
                    <w:rPr>
                      <w:color w:val="58595B"/>
                      <w:sz w:val="12"/>
                    </w:rPr>
                    <w:t>2</w:t>
                  </w:r>
                  <w:r>
                    <w:rPr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18</w:t>
                  </w:r>
                  <w:r>
                    <w:rPr>
                      <w:color w:val="58595B"/>
                      <w:sz w:val="12"/>
                    </w:rPr>
                    <w:t>1</w:t>
                  </w:r>
                  <w:r>
                    <w:rPr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09</w:t>
                  </w:r>
                  <w:r>
                    <w:rPr>
                      <w:color w:val="58595B"/>
                      <w:sz w:val="12"/>
                    </w:rPr>
                    <w:t>0</w:t>
                  </w:r>
                  <w:r>
                    <w:rPr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QR2018</w:t>
                  </w:r>
                </w:p>
              </w:txbxContent>
            </v:textbox>
            <w10:wrap type="none"/>
          </v:shape>
        </w:pict>
      </w:r>
      <w:r>
        <w:rPr>
          <w:color w:val="58595B"/>
          <w:sz w:val="17"/>
        </w:rPr>
        <w:t>Design stage</w:t>
      </w:r>
    </w:p>
    <w:p>
      <w:pPr>
        <w:spacing w:after="0"/>
        <w:jc w:val="center"/>
        <w:rPr>
          <w:sz w:val="17"/>
        </w:rPr>
        <w:sectPr>
          <w:type w:val="continuous"/>
          <w:pgSz w:w="11910" w:h="16840"/>
          <w:pgMar w:top="0" w:bottom="0" w:left="0" w:right="0"/>
          <w:cols w:num="8" w:equalWidth="0">
            <w:col w:w="2127" w:space="40"/>
            <w:col w:w="1193" w:space="40"/>
            <w:col w:w="1282" w:space="40"/>
            <w:col w:w="1067" w:space="40"/>
            <w:col w:w="1208" w:space="40"/>
            <w:col w:w="1166" w:space="40"/>
            <w:col w:w="1230" w:space="40"/>
            <w:col w:w="2357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784.346985pt;width:595.3pt;height:57.55pt;mso-position-horizontal-relative:page;mso-position-vertical-relative:page;z-index:-6712" coordorigin="0,15687" coordsize="11906,1151">
            <v:rect style="position:absolute;left:0;top:15686;width:11906;height:1151" filled="true" fillcolor="#d92231" stroked="false">
              <v:fill type="solid"/>
            </v:rect>
            <v:shape style="position:absolute;left:8103;top:16068;width:3429;height:388" type="#_x0000_t75" stroked="false">
              <v:imagedata r:id="rId18" o:title=""/>
            </v:shape>
            <w10:wrap type="none"/>
          </v:group>
        </w:pic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91" w:hanging="254"/>
      </w:pPr>
      <w:rPr>
        <w:rFonts w:hint="default" w:ascii="FS Albert Pro" w:hAnsi="FS Albert Pro" w:eastAsia="FS Albert Pro" w:cs="FS Albert Pro"/>
        <w:color w:val="58595B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282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5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8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0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3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96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79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61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S Albert Pro" w:hAnsi="FS Albert Pro" w:eastAsia="FS Albert Pro" w:cs="FS Albert Pro"/>
    </w:rPr>
  </w:style>
  <w:style w:styleId="BodyText" w:type="paragraph">
    <w:name w:val="Body Text"/>
    <w:basedOn w:val="Normal"/>
    <w:uiPriority w:val="1"/>
    <w:qFormat/>
    <w:pPr>
      <w:spacing w:before="80"/>
      <w:ind w:left="311"/>
    </w:pPr>
    <w:rPr>
      <w:rFonts w:ascii="FS Albert Pro" w:hAnsi="FS Albert Pro" w:eastAsia="FS Albert Pro" w:cs="FS Albert Pro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60"/>
      <w:ind w:left="311"/>
      <w:outlineLvl w:val="1"/>
    </w:pPr>
    <w:rPr>
      <w:rFonts w:ascii="FS Albert Pro" w:hAnsi="FS Albert Pro" w:eastAsia="FS Albert Pro" w:cs="FS Albert Pro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27"/>
      <w:ind w:left="181"/>
      <w:outlineLvl w:val="2"/>
    </w:pPr>
    <w:rPr>
      <w:rFonts w:ascii="FS Albert Pro" w:hAnsi="FS Albert Pro" w:eastAsia="FS Albert Pro" w:cs="FS Albert Pro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0"/>
      <w:ind w:left="791" w:hanging="254"/>
    </w:pPr>
    <w:rPr>
      <w:rFonts w:ascii="FS Albert Pro" w:hAnsi="FS Albert Pro" w:eastAsia="FS Albert Pro" w:cs="FS Albert Pro"/>
    </w:rPr>
  </w:style>
  <w:style w:styleId="TableParagraph" w:type="paragraph">
    <w:name w:val="Table Paragraph"/>
    <w:basedOn w:val="Normal"/>
    <w:uiPriority w:val="1"/>
    <w:qFormat/>
    <w:pPr>
      <w:spacing w:before="20" w:line="168" w:lineRule="exact"/>
    </w:pPr>
    <w:rPr>
      <w:rFonts w:ascii="FS Albert Pro" w:hAnsi="FS Albert Pro" w:eastAsia="FS Albert Pro" w:cs="FS Albert Pr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theme" Target="theme/theme1.xml"/><Relationship Id="rId21" Type="http://schemas.openxmlformats.org/officeDocument/2006/relationships/customXml" Target="../customXml/item2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fontTable" Target="fontTable.xml"/><Relationship Id="rId16" Type="http://schemas.openxmlformats.org/officeDocument/2006/relationships/image" Target="media/image11.pn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stationsupgrade@qr.com.a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D3479-759E-4545-B7DC-FD1DFF0CFEA6}"/>
</file>

<file path=customXml/itemProps2.xml><?xml version="1.0" encoding="utf-8"?>
<ds:datastoreItem xmlns:ds="http://schemas.openxmlformats.org/officeDocument/2006/customXml" ds:itemID="{7C7A783D-8FEE-48ED-8F2F-FDC52C399755}"/>
</file>

<file path=customXml/itemProps3.xml><?xml version="1.0" encoding="utf-8"?>
<ds:datastoreItem xmlns:ds="http://schemas.openxmlformats.org/officeDocument/2006/customXml" ds:itemID="{413DDF80-10AA-42E8-B867-542173006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2018-11-05T09:17:55Z</dcterms:created>
  <dcterms:modified xsi:type="dcterms:W3CDTF">2018-11-05T09:17:55Z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2018-11-04T00:00:00Z</vt:filetime>
  </property>
  <property fmtid="{D5CDD505-2E9C-101B-9397-08002B2CF9AE}" pid="5" name="ContentTypeId">
    <vt:lpwstr>0x010100A2ED94B99AC6E543AC366244A9AF2AE0</vt:lpwstr>
  </property>
</Properties>
</file>