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137.192017pt;width:841.9pt;height:53.4pt;mso-position-horizontal-relative:page;mso-position-vertical-relative:page;z-index:-3160" coordorigin="0,22744" coordsize="16838,1068">
            <v:rect style="position:absolute;left:0;top:22743;width:16838;height:1068" filled="true" fillcolor="#58595b" stroked="false">
              <v:fill type="solid"/>
            </v:rect>
            <v:shape style="position:absolute;left:10998;top:22981;width:5415;height:639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line="252" w:lineRule="auto" w:before="151"/>
        <w:ind w:left="566" w:right="761" w:firstLine="0"/>
        <w:jc w:val="both"/>
        <w:rPr>
          <w:b/>
          <w:sz w:val="40"/>
        </w:rPr>
      </w:pPr>
      <w:r>
        <w:rPr/>
        <w:pict>
          <v:group style="position:absolute;margin-left:0pt;margin-top:-274.686768pt;width:841.9pt;height:260.8pt;mso-position-horizontal-relative:page;mso-position-vertical-relative:paragraph;z-index:1072" coordorigin="0,-5494" coordsize="16838,5216">
            <v:shape style="position:absolute;left:7185;top:-5494;width:9652;height:521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5494;width:7186;height:3870" type="#_x0000_t202" filled="true" fillcolor="#e31836" stroked="false">
              <v:textbox inset="0,0,0,0">
                <w:txbxContent>
                  <w:p>
                    <w:pPr>
                      <w:spacing w:line="252" w:lineRule="auto" w:before="258"/>
                      <w:ind w:left="587" w:right="219" w:firstLine="0"/>
                      <w:jc w:val="left"/>
                      <w:rPr>
                        <w:b/>
                        <w:sz w:val="78"/>
                      </w:rPr>
                    </w:pPr>
                    <w:r>
                      <w:rPr>
                        <w:b/>
                        <w:color w:val="FFFFFF"/>
                        <w:sz w:val="78"/>
                      </w:rPr>
                      <w:t>Pomona pedestrian crossing upgrade</w:t>
                    </w:r>
                  </w:p>
                </w:txbxContent>
              </v:textbox>
              <v:fill type="solid"/>
              <w10:wrap type="none"/>
            </v:shape>
            <v:shape style="position:absolute;left:0;top:-1625;width:7186;height:1347" type="#_x0000_t202" filled="true" fillcolor="#58595b" stroked="false">
              <v:textbox inset="0,0,0,0">
                <w:txbxContent>
                  <w:p>
                    <w:pPr>
                      <w:spacing w:before="425"/>
                      <w:ind w:left="566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FFFFFF"/>
                        <w:sz w:val="38"/>
                      </w:rPr>
                      <w:t>PROJECT UPDATE – OCTOBER 2018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58595B"/>
          <w:w w:val="95"/>
          <w:sz w:val="40"/>
        </w:rPr>
        <w:t>Queensland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Rail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is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committed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to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retaining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and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upgrading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the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existing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pedestrian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crossing,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just north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of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Pomona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station.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spacing w:val="-10"/>
          <w:w w:val="95"/>
          <w:sz w:val="40"/>
        </w:rPr>
        <w:t>We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have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listened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to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the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local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community’s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feedback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and</w:t>
      </w:r>
      <w:r>
        <w:rPr>
          <w:b/>
          <w:color w:val="58595B"/>
          <w:spacing w:val="-14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understand the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crossing’s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historical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significance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to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the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town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and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its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role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in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w w:val="95"/>
          <w:sz w:val="40"/>
        </w:rPr>
        <w:t>promoting</w:t>
      </w:r>
      <w:r>
        <w:rPr>
          <w:b/>
          <w:color w:val="58595B"/>
          <w:spacing w:val="-16"/>
          <w:w w:val="95"/>
          <w:sz w:val="40"/>
        </w:rPr>
        <w:t> </w:t>
      </w:r>
      <w:r>
        <w:rPr>
          <w:b/>
          <w:color w:val="58595B"/>
          <w:spacing w:val="-4"/>
          <w:w w:val="95"/>
          <w:sz w:val="40"/>
        </w:rPr>
        <w:t>walkability.</w:t>
      </w:r>
    </w:p>
    <w:p>
      <w:pPr>
        <w:pStyle w:val="BodyText"/>
        <w:spacing w:line="412" w:lineRule="auto" w:before="205"/>
        <w:ind w:left="566"/>
      </w:pPr>
      <w:r>
        <w:rPr/>
        <w:pict>
          <v:group style="position:absolute;margin-left:464.26001pt;margin-top:47.717587pt;width:366.3pt;height:708.1pt;mso-position-horizontal-relative:page;mso-position-vertical-relative:paragraph;z-index:-3088" coordorigin="9285,954" coordsize="7326,14162">
            <v:shape style="position:absolute;left:9285;top:966;width:7326;height:14150" type="#_x0000_t75" stroked="false">
              <v:imagedata r:id="rId7" o:title=""/>
            </v:shape>
            <v:shape style="position:absolute;left:11253;top:954;width:2175;height:419" type="#_x0000_t202" filled="false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hd w:fill="58595B" w:color="auto" w:val="clear"/>
                      </w:rPr>
                      <w:t> Station Street </w:t>
                    </w:r>
                  </w:p>
                </w:txbxContent>
              </v:textbox>
              <w10:wrap type="none"/>
            </v:shape>
            <v:shape style="position:absolute;left:9694;top:9628;width:2467;height:419" type="#_x0000_t202" filled="false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hd w:fill="58595B" w:color="auto" w:val="clear"/>
                      </w:rPr>
                      <w:t> Pomona station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95B"/>
          <w:spacing w:val="-3"/>
        </w:rPr>
        <w:t>The</w:t>
      </w:r>
      <w:r>
        <w:rPr>
          <w:color w:val="58595B"/>
          <w:spacing w:val="-31"/>
        </w:rPr>
        <w:t> </w:t>
      </w:r>
      <w:r>
        <w:rPr>
          <w:color w:val="58595B"/>
        </w:rPr>
        <w:t>upgrade</w:t>
      </w:r>
      <w:r>
        <w:rPr>
          <w:color w:val="58595B"/>
          <w:spacing w:val="-31"/>
        </w:rPr>
        <w:t> </w:t>
      </w:r>
      <w:r>
        <w:rPr>
          <w:color w:val="58595B"/>
        </w:rPr>
        <w:t>will</w:t>
      </w:r>
      <w:r>
        <w:rPr>
          <w:color w:val="58595B"/>
          <w:spacing w:val="-31"/>
        </w:rPr>
        <w:t> </w:t>
      </w:r>
      <w:r>
        <w:rPr>
          <w:color w:val="58595B"/>
        </w:rPr>
        <w:t>ensure</w:t>
      </w:r>
      <w:r>
        <w:rPr>
          <w:color w:val="58595B"/>
          <w:spacing w:val="-31"/>
        </w:rPr>
        <w:t> </w:t>
      </w:r>
      <w:r>
        <w:rPr>
          <w:color w:val="58595B"/>
        </w:rPr>
        <w:t>the</w:t>
      </w:r>
      <w:r>
        <w:rPr>
          <w:color w:val="58595B"/>
          <w:spacing w:val="-31"/>
        </w:rPr>
        <w:t> </w:t>
      </w:r>
      <w:r>
        <w:rPr>
          <w:color w:val="58595B"/>
        </w:rPr>
        <w:t>crossing</w:t>
      </w:r>
      <w:r>
        <w:rPr>
          <w:color w:val="58595B"/>
          <w:spacing w:val="-31"/>
        </w:rPr>
        <w:t> </w:t>
      </w:r>
      <w:r>
        <w:rPr>
          <w:color w:val="58595B"/>
        </w:rPr>
        <w:t>is</w:t>
      </w:r>
      <w:r>
        <w:rPr>
          <w:color w:val="58595B"/>
          <w:spacing w:val="-31"/>
        </w:rPr>
        <w:t> </w:t>
      </w:r>
      <w:r>
        <w:rPr>
          <w:color w:val="58595B"/>
        </w:rPr>
        <w:t>suitable</w:t>
      </w:r>
      <w:r>
        <w:rPr>
          <w:color w:val="58595B"/>
          <w:spacing w:val="-31"/>
        </w:rPr>
        <w:t> </w:t>
      </w:r>
      <w:r>
        <w:rPr>
          <w:color w:val="58595B"/>
          <w:spacing w:val="-5"/>
        </w:rPr>
        <w:t>for</w:t>
      </w:r>
      <w:r>
        <w:rPr>
          <w:color w:val="58595B"/>
          <w:spacing w:val="-31"/>
        </w:rPr>
        <w:t> </w:t>
      </w:r>
      <w:r>
        <w:rPr>
          <w:color w:val="58595B"/>
        </w:rPr>
        <w:t>the</w:t>
      </w:r>
      <w:r>
        <w:rPr>
          <w:color w:val="58595B"/>
          <w:spacing w:val="-31"/>
        </w:rPr>
        <w:t> </w:t>
      </w:r>
      <w:r>
        <w:rPr>
          <w:color w:val="58595B"/>
        </w:rPr>
        <w:t>community</w:t>
      </w:r>
      <w:r>
        <w:rPr>
          <w:color w:val="58595B"/>
          <w:spacing w:val="-31"/>
        </w:rPr>
        <w:t> </w:t>
      </w:r>
      <w:r>
        <w:rPr>
          <w:color w:val="58595B"/>
        </w:rPr>
        <w:t>and</w:t>
      </w:r>
      <w:r>
        <w:rPr>
          <w:color w:val="58595B"/>
          <w:spacing w:val="-31"/>
        </w:rPr>
        <w:t> </w:t>
      </w:r>
      <w:r>
        <w:rPr>
          <w:color w:val="58595B"/>
        </w:rPr>
        <w:t>compliant</w:t>
      </w:r>
      <w:r>
        <w:rPr>
          <w:color w:val="58595B"/>
          <w:spacing w:val="-31"/>
        </w:rPr>
        <w:t> </w:t>
      </w:r>
      <w:r>
        <w:rPr>
          <w:color w:val="58595B"/>
        </w:rPr>
        <w:t>with</w:t>
      </w:r>
      <w:r>
        <w:rPr>
          <w:color w:val="58595B"/>
          <w:spacing w:val="-31"/>
        </w:rPr>
        <w:t> </w:t>
      </w:r>
      <w:r>
        <w:rPr>
          <w:color w:val="58595B"/>
        </w:rPr>
        <w:t>national</w:t>
      </w:r>
      <w:r>
        <w:rPr>
          <w:color w:val="58595B"/>
          <w:spacing w:val="-31"/>
        </w:rPr>
        <w:t> </w:t>
      </w:r>
      <w:r>
        <w:rPr>
          <w:color w:val="58595B"/>
          <w:spacing w:val="-3"/>
        </w:rPr>
        <w:t>safety</w:t>
      </w:r>
      <w:r>
        <w:rPr>
          <w:color w:val="58595B"/>
          <w:spacing w:val="-31"/>
        </w:rPr>
        <w:t> </w:t>
      </w:r>
      <w:r>
        <w:rPr>
          <w:color w:val="58595B"/>
        </w:rPr>
        <w:t>standards. Improvements</w:t>
      </w:r>
      <w:r>
        <w:rPr>
          <w:color w:val="58595B"/>
          <w:spacing w:val="-42"/>
        </w:rPr>
        <w:t> </w:t>
      </w:r>
      <w:r>
        <w:rPr>
          <w:color w:val="58595B"/>
        </w:rPr>
        <w:t>to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2"/>
        </w:rPr>
        <w:t> </w:t>
      </w:r>
      <w:r>
        <w:rPr>
          <w:color w:val="58595B"/>
        </w:rPr>
        <w:t>Pomona</w:t>
      </w:r>
      <w:r>
        <w:rPr>
          <w:color w:val="58595B"/>
          <w:spacing w:val="-42"/>
        </w:rPr>
        <w:t> </w:t>
      </w:r>
      <w:r>
        <w:rPr>
          <w:color w:val="58595B"/>
        </w:rPr>
        <w:t>pedestrian</w:t>
      </w:r>
      <w:r>
        <w:rPr>
          <w:color w:val="58595B"/>
          <w:spacing w:val="-42"/>
        </w:rPr>
        <w:t> </w:t>
      </w:r>
      <w:r>
        <w:rPr>
          <w:color w:val="58595B"/>
        </w:rPr>
        <w:t>crossing</w:t>
      </w:r>
      <w:r>
        <w:rPr>
          <w:color w:val="58595B"/>
          <w:spacing w:val="-42"/>
        </w:rPr>
        <w:t> </w:t>
      </w:r>
      <w:r>
        <w:rPr>
          <w:color w:val="58595B"/>
        </w:rPr>
        <w:t>will</w:t>
      </w:r>
      <w:r>
        <w:rPr>
          <w:color w:val="58595B"/>
          <w:spacing w:val="-42"/>
        </w:rPr>
        <w:t> </w:t>
      </w:r>
      <w:r>
        <w:rPr>
          <w:color w:val="58595B"/>
        </w:rPr>
        <w:t>include: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40" w:lineRule="auto" w:before="96" w:after="0"/>
        <w:ind w:left="1247" w:right="0" w:hanging="360"/>
        <w:jc w:val="left"/>
        <w:rPr>
          <w:sz w:val="32"/>
        </w:rPr>
      </w:pPr>
      <w:r>
        <w:rPr>
          <w:color w:val="58595B"/>
          <w:sz w:val="32"/>
        </w:rPr>
        <w:t>Replacing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the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existing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flashing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light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with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a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pedestrian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signal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52" w:lineRule="auto" w:before="245" w:after="0"/>
        <w:ind w:left="1247" w:right="8278" w:hanging="360"/>
        <w:jc w:val="left"/>
        <w:rPr>
          <w:sz w:val="32"/>
        </w:rPr>
      </w:pPr>
      <w:r>
        <w:rPr>
          <w:color w:val="58595B"/>
          <w:sz w:val="32"/>
        </w:rPr>
        <w:t>Adding a new flashing sign to alert pedestrians when another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train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is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coming,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should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a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train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be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stopped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at</w:t>
      </w:r>
      <w:r>
        <w:rPr>
          <w:color w:val="58595B"/>
          <w:spacing w:val="-25"/>
          <w:sz w:val="32"/>
        </w:rPr>
        <w:t> </w:t>
      </w:r>
      <w:r>
        <w:rPr>
          <w:color w:val="58595B"/>
          <w:sz w:val="32"/>
        </w:rPr>
        <w:t>the station</w:t>
      </w:r>
    </w:p>
    <w:p>
      <w:pPr>
        <w:pStyle w:val="ListParagraph"/>
        <w:numPr>
          <w:ilvl w:val="0"/>
          <w:numId w:val="1"/>
        </w:numPr>
        <w:tabs>
          <w:tab w:pos="1248" w:val="left" w:leader="none"/>
        </w:tabs>
        <w:spacing w:line="252" w:lineRule="auto" w:before="227" w:after="0"/>
        <w:ind w:left="1247" w:right="8370" w:hanging="360"/>
        <w:jc w:val="both"/>
        <w:rPr>
          <w:sz w:val="32"/>
        </w:rPr>
      </w:pPr>
      <w:r>
        <w:rPr>
          <w:color w:val="58595B"/>
          <w:sz w:val="32"/>
        </w:rPr>
        <w:t>Introducing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a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pedestrian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maze</w:t>
      </w:r>
      <w:r>
        <w:rPr>
          <w:color w:val="58595B"/>
          <w:spacing w:val="-34"/>
          <w:sz w:val="32"/>
        </w:rPr>
        <w:t> </w:t>
      </w:r>
      <w:r>
        <w:rPr>
          <w:color w:val="58595B"/>
          <w:spacing w:val="-4"/>
          <w:sz w:val="32"/>
        </w:rPr>
        <w:t>(gates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are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not</w:t>
      </w:r>
      <w:r>
        <w:rPr>
          <w:color w:val="58595B"/>
          <w:spacing w:val="-34"/>
          <w:sz w:val="32"/>
        </w:rPr>
        <w:t> </w:t>
      </w:r>
      <w:r>
        <w:rPr>
          <w:color w:val="58595B"/>
          <w:sz w:val="32"/>
        </w:rPr>
        <w:t>included), designed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to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cater</w:t>
      </w:r>
      <w:r>
        <w:rPr>
          <w:color w:val="58595B"/>
          <w:spacing w:val="-28"/>
          <w:sz w:val="32"/>
        </w:rPr>
        <w:t> </w:t>
      </w:r>
      <w:r>
        <w:rPr>
          <w:color w:val="58595B"/>
          <w:spacing w:val="-5"/>
          <w:sz w:val="32"/>
        </w:rPr>
        <w:t>for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horse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riders,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mobility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scooters</w:t>
      </w:r>
      <w:r>
        <w:rPr>
          <w:color w:val="58595B"/>
          <w:spacing w:val="-28"/>
          <w:sz w:val="32"/>
        </w:rPr>
        <w:t> </w:t>
      </w:r>
      <w:r>
        <w:rPr>
          <w:color w:val="58595B"/>
          <w:sz w:val="32"/>
        </w:rPr>
        <w:t>and cyclists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52" w:lineRule="auto" w:before="227" w:after="0"/>
        <w:ind w:left="1247" w:right="7718" w:hanging="360"/>
        <w:jc w:val="left"/>
        <w:rPr>
          <w:sz w:val="32"/>
        </w:rPr>
      </w:pPr>
      <w:r>
        <w:rPr>
          <w:color w:val="58595B"/>
          <w:sz w:val="32"/>
        </w:rPr>
        <w:t>Signage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to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instruct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horse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and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bicycle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riders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to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dismount</w:t>
      </w:r>
      <w:r>
        <w:rPr>
          <w:color w:val="58595B"/>
          <w:spacing w:val="-30"/>
          <w:sz w:val="32"/>
        </w:rPr>
        <w:t> </w:t>
      </w:r>
      <w:r>
        <w:rPr>
          <w:color w:val="58595B"/>
          <w:sz w:val="32"/>
        </w:rPr>
        <w:t>prior to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crossing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and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a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height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gauge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to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ensure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rider</w:t>
      </w:r>
      <w:r>
        <w:rPr>
          <w:color w:val="58595B"/>
          <w:spacing w:val="-26"/>
          <w:sz w:val="32"/>
        </w:rPr>
        <w:t> </w:t>
      </w:r>
      <w:r>
        <w:rPr>
          <w:color w:val="58595B"/>
          <w:spacing w:val="-3"/>
          <w:sz w:val="32"/>
        </w:rPr>
        <w:t>safety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52" w:lineRule="auto" w:before="227" w:after="0"/>
        <w:ind w:left="1247" w:right="7892" w:hanging="360"/>
        <w:jc w:val="left"/>
        <w:rPr>
          <w:sz w:val="32"/>
        </w:rPr>
      </w:pPr>
      <w:r>
        <w:rPr>
          <w:color w:val="58595B"/>
          <w:sz w:val="32"/>
        </w:rPr>
        <w:t>New concrete path connections on both sides connecting to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the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station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carpark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on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the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east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and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Station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Street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on</w:t>
      </w:r>
      <w:r>
        <w:rPr>
          <w:color w:val="58595B"/>
          <w:spacing w:val="-24"/>
          <w:sz w:val="32"/>
        </w:rPr>
        <w:t> </w:t>
      </w:r>
      <w:r>
        <w:rPr>
          <w:color w:val="58595B"/>
          <w:sz w:val="32"/>
        </w:rPr>
        <w:t>the west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52" w:lineRule="auto" w:before="227" w:after="0"/>
        <w:ind w:left="1247" w:right="7845" w:hanging="360"/>
        <w:jc w:val="left"/>
        <w:rPr>
          <w:sz w:val="32"/>
        </w:rPr>
      </w:pPr>
      <w:r>
        <w:rPr>
          <w:color w:val="58595B"/>
          <w:sz w:val="32"/>
        </w:rPr>
        <w:t>Lighting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along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the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new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path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connection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from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Station</w:t>
      </w:r>
      <w:r>
        <w:rPr>
          <w:color w:val="58595B"/>
          <w:spacing w:val="-33"/>
          <w:sz w:val="32"/>
        </w:rPr>
        <w:t> </w:t>
      </w:r>
      <w:r>
        <w:rPr>
          <w:color w:val="58595B"/>
          <w:sz w:val="32"/>
        </w:rPr>
        <w:t>Street and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up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to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the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station</w:t>
      </w:r>
      <w:r>
        <w:rPr>
          <w:color w:val="58595B"/>
          <w:spacing w:val="-26"/>
          <w:sz w:val="32"/>
        </w:rPr>
        <w:t> </w:t>
      </w:r>
      <w:r>
        <w:rPr>
          <w:color w:val="58595B"/>
          <w:sz w:val="32"/>
        </w:rPr>
        <w:t>carpark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40" w:lineRule="auto" w:before="227" w:after="0"/>
        <w:ind w:left="1247" w:right="0" w:hanging="360"/>
        <w:jc w:val="left"/>
        <w:rPr>
          <w:sz w:val="32"/>
        </w:rPr>
      </w:pPr>
      <w:r>
        <w:rPr>
          <w:color w:val="58595B"/>
          <w:spacing w:val="-3"/>
          <w:sz w:val="32"/>
        </w:rPr>
        <w:t>Fencing</w:t>
      </w:r>
      <w:r>
        <w:rPr>
          <w:color w:val="58595B"/>
          <w:spacing w:val="-27"/>
          <w:sz w:val="32"/>
        </w:rPr>
        <w:t> </w:t>
      </w:r>
      <w:r>
        <w:rPr>
          <w:color w:val="58595B"/>
          <w:sz w:val="32"/>
        </w:rPr>
        <w:t>on</w:t>
      </w:r>
      <w:r>
        <w:rPr>
          <w:color w:val="58595B"/>
          <w:spacing w:val="-27"/>
          <w:sz w:val="32"/>
        </w:rPr>
        <w:t> </w:t>
      </w:r>
      <w:r>
        <w:rPr>
          <w:color w:val="58595B"/>
          <w:sz w:val="32"/>
        </w:rPr>
        <w:t>both</w:t>
      </w:r>
      <w:r>
        <w:rPr>
          <w:color w:val="58595B"/>
          <w:spacing w:val="-27"/>
          <w:sz w:val="32"/>
        </w:rPr>
        <w:t> </w:t>
      </w:r>
      <w:r>
        <w:rPr>
          <w:color w:val="58595B"/>
          <w:sz w:val="32"/>
        </w:rPr>
        <w:t>sides</w:t>
      </w:r>
      <w:r>
        <w:rPr>
          <w:color w:val="58595B"/>
          <w:spacing w:val="-27"/>
          <w:sz w:val="32"/>
        </w:rPr>
        <w:t> </w:t>
      </w:r>
      <w:r>
        <w:rPr>
          <w:color w:val="58595B"/>
          <w:sz w:val="32"/>
        </w:rPr>
        <w:t>of</w:t>
      </w:r>
      <w:r>
        <w:rPr>
          <w:color w:val="58595B"/>
          <w:spacing w:val="-27"/>
          <w:sz w:val="32"/>
        </w:rPr>
        <w:t> </w:t>
      </w:r>
      <w:r>
        <w:rPr>
          <w:color w:val="58595B"/>
          <w:sz w:val="32"/>
        </w:rPr>
        <w:t>the</w:t>
      </w:r>
      <w:r>
        <w:rPr>
          <w:color w:val="58595B"/>
          <w:spacing w:val="-27"/>
          <w:sz w:val="32"/>
        </w:rPr>
        <w:t> </w:t>
      </w:r>
      <w:r>
        <w:rPr>
          <w:color w:val="58595B"/>
          <w:sz w:val="32"/>
        </w:rPr>
        <w:t>crossing.</w:t>
      </w:r>
    </w:p>
    <w:p>
      <w:pPr>
        <w:pStyle w:val="BodyText"/>
        <w:spacing w:line="252" w:lineRule="auto" w:before="359"/>
        <w:ind w:left="566" w:right="7876"/>
      </w:pPr>
      <w:r>
        <w:rPr>
          <w:color w:val="58595B"/>
          <w:spacing w:val="-3"/>
        </w:rPr>
        <w:t>Works</w:t>
      </w:r>
      <w:r>
        <w:rPr>
          <w:color w:val="58595B"/>
          <w:spacing w:val="-38"/>
        </w:rPr>
        <w:t> </w:t>
      </w:r>
      <w:r>
        <w:rPr>
          <w:color w:val="58595B"/>
        </w:rPr>
        <w:t>to</w:t>
      </w:r>
      <w:r>
        <w:rPr>
          <w:color w:val="58595B"/>
          <w:spacing w:val="-38"/>
        </w:rPr>
        <w:t> </w:t>
      </w:r>
      <w:r>
        <w:rPr>
          <w:color w:val="58595B"/>
        </w:rPr>
        <w:t>upgrade</w:t>
      </w:r>
      <w:r>
        <w:rPr>
          <w:color w:val="58595B"/>
          <w:spacing w:val="-38"/>
        </w:rPr>
        <w:t> </w:t>
      </w:r>
      <w:r>
        <w:rPr>
          <w:color w:val="58595B"/>
        </w:rPr>
        <w:t>the</w:t>
      </w:r>
      <w:r>
        <w:rPr>
          <w:color w:val="58595B"/>
          <w:spacing w:val="-38"/>
        </w:rPr>
        <w:t> </w:t>
      </w:r>
      <w:r>
        <w:rPr>
          <w:color w:val="58595B"/>
        </w:rPr>
        <w:t>pedestrian</w:t>
      </w:r>
      <w:r>
        <w:rPr>
          <w:color w:val="58595B"/>
          <w:spacing w:val="-38"/>
        </w:rPr>
        <w:t> </w:t>
      </w:r>
      <w:r>
        <w:rPr>
          <w:color w:val="58595B"/>
        </w:rPr>
        <w:t>crossing</w:t>
      </w:r>
      <w:r>
        <w:rPr>
          <w:color w:val="58595B"/>
          <w:spacing w:val="-38"/>
        </w:rPr>
        <w:t> </w:t>
      </w:r>
      <w:r>
        <w:rPr>
          <w:color w:val="58595B"/>
        </w:rPr>
        <w:t>will</w:t>
      </w:r>
      <w:r>
        <w:rPr>
          <w:color w:val="58595B"/>
          <w:spacing w:val="-38"/>
        </w:rPr>
        <w:t> </w:t>
      </w:r>
      <w:r>
        <w:rPr>
          <w:color w:val="58595B"/>
        </w:rPr>
        <w:t>occur</w:t>
      </w:r>
      <w:r>
        <w:rPr>
          <w:color w:val="58595B"/>
          <w:spacing w:val="-38"/>
        </w:rPr>
        <w:t> </w:t>
      </w:r>
      <w:r>
        <w:rPr>
          <w:color w:val="58595B"/>
        </w:rPr>
        <w:t>progressively in 2019. During works, there may be short closures to the pedestrian crossing, with pedestrians being directed to use alternative</w:t>
      </w:r>
      <w:r>
        <w:rPr>
          <w:color w:val="58595B"/>
          <w:spacing w:val="-40"/>
        </w:rPr>
        <w:t> </w:t>
      </w:r>
      <w:r>
        <w:rPr>
          <w:color w:val="58595B"/>
        </w:rPr>
        <w:t>crossings</w:t>
      </w:r>
      <w:r>
        <w:rPr>
          <w:color w:val="58595B"/>
          <w:spacing w:val="-40"/>
        </w:rPr>
        <w:t> </w:t>
      </w:r>
      <w:r>
        <w:rPr>
          <w:color w:val="58595B"/>
          <w:spacing w:val="-5"/>
        </w:rPr>
        <w:t>for</w:t>
      </w:r>
      <w:r>
        <w:rPr>
          <w:color w:val="58595B"/>
          <w:spacing w:val="-40"/>
        </w:rPr>
        <w:t> </w:t>
      </w:r>
      <w:r>
        <w:rPr>
          <w:color w:val="58595B"/>
        </w:rPr>
        <w:t>their</w:t>
      </w:r>
      <w:r>
        <w:rPr>
          <w:color w:val="58595B"/>
          <w:spacing w:val="-40"/>
        </w:rPr>
        <w:t> </w:t>
      </w:r>
      <w:r>
        <w:rPr>
          <w:color w:val="58595B"/>
          <w:spacing w:val="-6"/>
        </w:rPr>
        <w:t>safety.</w:t>
      </w:r>
    </w:p>
    <w:p>
      <w:pPr>
        <w:pStyle w:val="BodyText"/>
        <w:spacing w:line="252" w:lineRule="auto" w:before="284"/>
        <w:ind w:left="566" w:right="8085"/>
      </w:pPr>
      <w:r>
        <w:rPr>
          <w:color w:val="58595B"/>
        </w:rPr>
        <w:t>Queensland Rail is interested in hearing the community’s feedback</w:t>
      </w:r>
      <w:r>
        <w:rPr>
          <w:color w:val="58595B"/>
          <w:spacing w:val="-37"/>
        </w:rPr>
        <w:t> </w:t>
      </w:r>
      <w:r>
        <w:rPr>
          <w:color w:val="58595B"/>
        </w:rPr>
        <w:t>about</w:t>
      </w:r>
      <w:r>
        <w:rPr>
          <w:color w:val="58595B"/>
          <w:spacing w:val="-37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design</w:t>
      </w:r>
      <w:r>
        <w:rPr>
          <w:color w:val="58595B"/>
          <w:spacing w:val="-37"/>
        </w:rPr>
        <w:t> </w:t>
      </w:r>
      <w:r>
        <w:rPr>
          <w:color w:val="58595B"/>
          <w:spacing w:val="-5"/>
        </w:rPr>
        <w:t>for</w:t>
      </w:r>
      <w:r>
        <w:rPr>
          <w:color w:val="58595B"/>
          <w:spacing w:val="-37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Pomona</w:t>
      </w:r>
      <w:r>
        <w:rPr>
          <w:color w:val="58595B"/>
          <w:spacing w:val="-37"/>
        </w:rPr>
        <w:t> </w:t>
      </w:r>
      <w:r>
        <w:rPr>
          <w:color w:val="58595B"/>
        </w:rPr>
        <w:t>pedestrian</w:t>
      </w:r>
      <w:r>
        <w:rPr>
          <w:color w:val="58595B"/>
          <w:spacing w:val="-37"/>
        </w:rPr>
        <w:t> </w:t>
      </w:r>
      <w:r>
        <w:rPr>
          <w:color w:val="58595B"/>
        </w:rPr>
        <w:t>crossing.</w:t>
      </w:r>
    </w:p>
    <w:p>
      <w:pPr>
        <w:pStyle w:val="BodyText"/>
        <w:tabs>
          <w:tab w:pos="2006" w:val="left" w:leader="none"/>
        </w:tabs>
        <w:spacing w:line="326" w:lineRule="auto" w:before="284"/>
        <w:ind w:left="566" w:right="12268"/>
        <w:rPr>
          <w:b/>
        </w:rPr>
      </w:pPr>
      <w:r>
        <w:rPr>
          <w:color w:val="58595B"/>
          <w:spacing w:val="-3"/>
        </w:rPr>
        <w:t>Feedback </w:t>
      </w:r>
      <w:r>
        <w:rPr>
          <w:color w:val="58595B"/>
        </w:rPr>
        <w:t>can be provided</w:t>
      </w:r>
      <w:r>
        <w:rPr>
          <w:color w:val="58595B"/>
          <w:spacing w:val="-7"/>
        </w:rPr>
        <w:t> </w:t>
      </w:r>
      <w:r>
        <w:rPr>
          <w:color w:val="58595B"/>
        </w:rPr>
        <w:t>via: phone:</w:t>
        <w:tab/>
      </w:r>
      <w:r>
        <w:rPr>
          <w:b/>
          <w:color w:val="58595B"/>
        </w:rPr>
        <w:t>13 16</w:t>
      </w:r>
      <w:r>
        <w:rPr>
          <w:b/>
          <w:color w:val="58595B"/>
          <w:spacing w:val="-39"/>
        </w:rPr>
        <w:t> </w:t>
      </w:r>
      <w:r>
        <w:rPr>
          <w:b/>
          <w:color w:val="58595B"/>
        </w:rPr>
        <w:t>17</w:t>
      </w:r>
    </w:p>
    <w:p>
      <w:pPr>
        <w:pStyle w:val="Heading1"/>
        <w:tabs>
          <w:tab w:pos="2006" w:val="left" w:leader="none"/>
        </w:tabs>
        <w:spacing w:before="1"/>
        <w:ind w:left="566"/>
      </w:pPr>
      <w:r>
        <w:rPr>
          <w:b w:val="0"/>
          <w:color w:val="58595B"/>
        </w:rPr>
        <w:t>email:</w:t>
        <w:tab/>
      </w:r>
      <w:hyperlink r:id="rId8">
        <w:r>
          <w:rPr>
            <w:color w:val="58595B"/>
          </w:rPr>
          <w:t>communityengagement@qr.com.au</w:t>
        </w:r>
      </w:hyperlink>
    </w:p>
    <w:p>
      <w:pPr>
        <w:tabs>
          <w:tab w:pos="2006" w:val="left" w:leader="none"/>
        </w:tabs>
        <w:spacing w:line="237" w:lineRule="auto" w:before="136"/>
        <w:ind w:left="2006" w:right="10440" w:hanging="1440"/>
        <w:jc w:val="left"/>
        <w:rPr>
          <w:b/>
          <w:sz w:val="32"/>
        </w:rPr>
      </w:pPr>
      <w:r>
        <w:rPr>
          <w:color w:val="58595B"/>
          <w:sz w:val="32"/>
        </w:rPr>
        <w:t>post:</w:t>
        <w:tab/>
      </w:r>
      <w:r>
        <w:rPr>
          <w:b/>
          <w:color w:val="58595B"/>
          <w:sz w:val="32"/>
        </w:rPr>
        <w:t>Stakeholder</w:t>
      </w:r>
      <w:r>
        <w:rPr>
          <w:b/>
          <w:color w:val="58595B"/>
          <w:spacing w:val="-2"/>
          <w:sz w:val="32"/>
        </w:rPr>
        <w:t> </w:t>
      </w:r>
      <w:r>
        <w:rPr>
          <w:b/>
          <w:color w:val="58595B"/>
          <w:sz w:val="32"/>
        </w:rPr>
        <w:t>Engagement</w:t>
      </w:r>
      <w:r>
        <w:rPr>
          <w:b/>
          <w:color w:val="58595B"/>
          <w:spacing w:val="-2"/>
          <w:sz w:val="32"/>
        </w:rPr>
        <w:t> </w:t>
      </w:r>
      <w:r>
        <w:rPr>
          <w:b/>
          <w:color w:val="58595B"/>
          <w:spacing w:val="-9"/>
          <w:sz w:val="32"/>
        </w:rPr>
        <w:t>Team</w:t>
      </w:r>
      <w:r>
        <w:rPr>
          <w:b/>
          <w:color w:val="58595B"/>
          <w:sz w:val="32"/>
        </w:rPr>
        <w:t> GPO </w:t>
      </w:r>
      <w:r>
        <w:rPr>
          <w:b/>
          <w:color w:val="58595B"/>
          <w:spacing w:val="-3"/>
          <w:sz w:val="32"/>
        </w:rPr>
        <w:t>Box</w:t>
      </w:r>
      <w:r>
        <w:rPr>
          <w:b/>
          <w:color w:val="58595B"/>
          <w:spacing w:val="1"/>
          <w:sz w:val="32"/>
        </w:rPr>
        <w:t> </w:t>
      </w:r>
      <w:r>
        <w:rPr>
          <w:b/>
          <w:color w:val="58595B"/>
          <w:sz w:val="32"/>
        </w:rPr>
        <w:t>1429</w:t>
      </w:r>
    </w:p>
    <w:p>
      <w:pPr>
        <w:spacing w:line="360" w:lineRule="exact" w:before="0"/>
        <w:ind w:left="2006" w:right="0" w:firstLine="0"/>
        <w:jc w:val="left"/>
        <w:rPr>
          <w:b/>
          <w:sz w:val="32"/>
        </w:rPr>
      </w:pPr>
      <w:r>
        <w:rPr>
          <w:b/>
          <w:color w:val="58595B"/>
          <w:sz w:val="32"/>
        </w:rPr>
        <w:t>Brisbane QLD 4001</w:t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47" w:hanging="360"/>
      </w:pPr>
      <w:rPr>
        <w:rFonts w:hint="default" w:ascii="FS Albert Pro" w:hAnsi="FS Albert Pro" w:eastAsia="FS Albert Pro" w:cs="FS Albert Pro"/>
        <w:color w:val="58595B"/>
        <w:w w:val="97"/>
        <w:sz w:val="32"/>
        <w:szCs w:val="32"/>
      </w:rPr>
    </w:lvl>
    <w:lvl w:ilvl="1">
      <w:start w:val="0"/>
      <w:numFmt w:val="bullet"/>
      <w:lvlText w:val="•"/>
      <w:lvlJc w:val="left"/>
      <w:pPr>
        <w:ind w:left="279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32"/>
      <w:szCs w:val="32"/>
    </w:rPr>
  </w:style>
  <w:style w:styleId="Heading1" w:type="paragraph">
    <w:name w:val="Heading 1"/>
    <w:basedOn w:val="Normal"/>
    <w:uiPriority w:val="1"/>
    <w:qFormat/>
    <w:pPr>
      <w:ind w:left="2006"/>
      <w:outlineLvl w:val="1"/>
    </w:pPr>
    <w:rPr>
      <w:rFonts w:ascii="FS Albert Pro" w:hAnsi="FS Albert Pro" w:eastAsia="FS Albert Pro" w:cs="FS Albert Pro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227"/>
      <w:ind w:left="1247" w:hanging="360"/>
    </w:pPr>
    <w:rPr>
      <w:rFonts w:ascii="FS Albert Pro" w:hAnsi="FS Albert Pro" w:eastAsia="FS Albert Pro" w:cs="FS Albert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qr.com.au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011F6-9C48-43F0-88CE-D01E2F278C99}"/>
</file>

<file path=customXml/itemProps2.xml><?xml version="1.0" encoding="utf-8"?>
<ds:datastoreItem xmlns:ds="http://schemas.openxmlformats.org/officeDocument/2006/customXml" ds:itemID="{6FABA073-F48C-427A-9F93-1B8B56E5162E}"/>
</file>

<file path=customXml/itemProps3.xml><?xml version="1.0" encoding="utf-8"?>
<ds:datastoreItem xmlns:ds="http://schemas.openxmlformats.org/officeDocument/2006/customXml" ds:itemID="{4C587DC2-63C4-4CA6-A1FB-9AA535C73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2018-10-12T11:47:32Z</dcterms:created>
  <dcterms:modified xsi:type="dcterms:W3CDTF">2018-10-12T11:47:32Z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2018-10-12T00:00:00Z</vt:filetime>
  </property>
  <property fmtid="{D5CDD505-2E9C-101B-9397-08002B2CF9AE}" pid="5" name="ContentTypeId">
    <vt:lpwstr>0x010100A2ED94B99AC6E543AC366244A9AF2AE0</vt:lpwstr>
  </property>
</Properties>
</file>